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ed_defa14a.htm"/>
      <w:bookmarkStart w:id="1" w:name="ksped_defa14a"/>
      <w:bookmarkStart w:id="2" w:name="ped_defa14a.htm"/>
      <w:bookmarkStart w:id="3" w:name="ksped_defa14a"/>
      <w:bookmarkEnd w:id="2"/>
      <w:bookmarkEnd w:id="3"/>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SCHEDULE 14A INFORMATION</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Proxy Statement Pursuant to Section 14(a) of the Securities Exchange Act of 1934</w:t>
      </w:r>
    </w:p>
    <w:p>
      <w:pPr>
        <w:pStyle w:val="TextBody"/>
        <w:bidi w:val="0"/>
        <w:spacing w:before="0" w:after="0"/>
        <w:ind w:left="0" w:right="0" w:hanging="0"/>
        <w:jc w:val="center"/>
        <w:rPr>
          <w:rFonts w:ascii="times new roman" w:hAnsi="times new roman"/>
          <w:sz w:val="20"/>
        </w:rPr>
      </w:pPr>
      <w:r>
        <w:rPr>
          <w:rFonts w:ascii="times new roman" w:hAnsi="times new roman"/>
          <w:sz w:val="20"/>
        </w:rPr>
        <w:t>(Amendment No. __)</w:t>
      </w:r>
    </w:p>
    <w:p>
      <w:pPr>
        <w:pStyle w:val="TextBody"/>
        <w:bidi w:val="0"/>
        <w:spacing w:before="0" w:after="0"/>
        <w:ind w:left="0" w:right="0" w:hanging="0"/>
        <w:jc w:val="both"/>
        <w:rPr>
          <w:rFonts w:ascii="times new roman" w:hAnsi="times new roman"/>
          <w:sz w:val="20"/>
        </w:rPr>
      </w:pPr>
      <w:r>
        <w:rPr>
          <w:rFonts w:ascii="times new roman" w:hAnsi="times new roman"/>
          <w:sz w:val="20"/>
        </w:rPr>
        <w:t>Filed by the Registrant ☒</w:t>
      </w:r>
    </w:p>
    <w:p>
      <w:pPr>
        <w:pStyle w:val="TextBody"/>
        <w:bidi w:val="0"/>
        <w:spacing w:before="0" w:after="0"/>
        <w:ind w:left="0" w:right="0" w:hanging="0"/>
        <w:jc w:val="both"/>
        <w:rPr>
          <w:rFonts w:ascii="times new roman" w:hAnsi="times new roman"/>
          <w:sz w:val="20"/>
        </w:rPr>
      </w:pPr>
      <w:r>
        <w:rPr>
          <w:rFonts w:ascii="times new roman" w:hAnsi="times new roman"/>
          <w:sz w:val="20"/>
        </w:rPr>
        <w:t>Filed by a Party other than the Registrant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w:t>
      </w:r>
    </w:p>
    <w:p>
      <w:pPr>
        <w:pStyle w:val="TextBody"/>
        <w:bidi w:val="0"/>
        <w:spacing w:before="0" w:after="0"/>
        <w:ind w:left="0" w:right="0" w:hanging="0"/>
        <w:jc w:val="both"/>
        <w:rPr/>
      </w:pPr>
      <w:r>
        <w:rPr/>
        <w:t> </w:t>
      </w:r>
    </w:p>
    <w:tbl>
      <w:tblPr>
        <w:tblW w:w="6970" w:type="dxa"/>
        <w:jc w:val="left"/>
        <w:tblInd w:w="0" w:type="dxa"/>
        <w:tblLayout w:type="fixed"/>
        <w:tblCellMar>
          <w:top w:w="0" w:type="dxa"/>
          <w:left w:w="0" w:type="dxa"/>
          <w:bottom w:w="0" w:type="dxa"/>
          <w:right w:w="0" w:type="dxa"/>
        </w:tblCellMar>
      </w:tblPr>
      <w:tblGrid>
        <w:gridCol w:w="275"/>
        <w:gridCol w:w="6695"/>
      </w:tblGrid>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Preliminary Proxy Statement</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Confidential, For Use of the Commission Only (As Permitted by Rule 14a-6(e)(2))</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Definitive Proxy Statement</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Definitive Additional Materials</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Soliciting Material under § 240.14a-12</w:t>
            </w:r>
          </w:p>
        </w:tc>
      </w:tr>
    </w:tbl>
    <w:p>
      <w:pPr>
        <w:pStyle w:val="TextBody"/>
        <w:bidi w:val="0"/>
        <w:spacing w:before="0" w:after="0"/>
        <w:ind w:left="0" w:right="0" w:hanging="0"/>
        <w:jc w:val="both"/>
        <w:rPr/>
      </w:pPr>
      <w:r>
        <w:rPr/>
        <w:t> </w:t>
      </w:r>
    </w:p>
    <w:tbl>
      <w:tblPr>
        <w:tblW w:w="5960" w:type="dxa"/>
        <w:jc w:val="left"/>
        <w:tblInd w:w="0" w:type="dxa"/>
        <w:tblLayout w:type="fixed"/>
        <w:tblCellMar>
          <w:top w:w="0" w:type="dxa"/>
          <w:left w:w="0" w:type="dxa"/>
          <w:bottom w:w="28" w:type="dxa"/>
          <w:right w:w="0" w:type="dxa"/>
        </w:tblCellMar>
      </w:tblPr>
      <w:tblGrid>
        <w:gridCol w:w="5960"/>
      </w:tblGrid>
      <w:tr>
        <w:trPr/>
        <w:tc>
          <w:tcPr>
            <w:tcW w:w="59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5960"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(Name of Registrant as Specified In Its Charter)</w:t>
            </w:r>
          </w:p>
        </w:tc>
      </w:tr>
      <w:tr>
        <w:trPr/>
        <w:tc>
          <w:tcPr>
            <w:tcW w:w="5960" w:type="dxa"/>
            <w:tcBorders>
              <w:bottom w:val="single" w:sz="2" w:space="0" w:color="000000"/>
            </w:tcBorders>
            <w:vAlign w:val="center"/>
          </w:tcPr>
          <w:p>
            <w:pPr>
              <w:pStyle w:val="TableContents"/>
              <w:bidi w:val="0"/>
              <w:spacing w:before="0" w:after="0"/>
              <w:ind w:left="0" w:right="0" w:hanging="0"/>
              <w:jc w:val="both"/>
              <w:rPr/>
            </w:pPr>
            <w:r>
              <w:rPr/>
              <w:t> </w:t>
            </w:r>
          </w:p>
        </w:tc>
      </w:tr>
      <w:tr>
        <w:trPr/>
        <w:tc>
          <w:tcPr>
            <w:tcW w:w="5960"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(Name of Person(s) Filing Proxy Statement, if other than the Registrant)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Payment of Filing Fee (Check all boxes that apply):</w:t>
      </w:r>
    </w:p>
    <w:p>
      <w:pPr>
        <w:pStyle w:val="TextBody"/>
        <w:bidi w:val="0"/>
        <w:spacing w:before="0" w:after="0"/>
        <w:ind w:left="0" w:right="0" w:hanging="0"/>
        <w:jc w:val="both"/>
        <w:rPr/>
      </w:pPr>
      <w:r>
        <w:rPr/>
        <w:t> </w:t>
      </w:r>
    </w:p>
    <w:tbl>
      <w:tblPr>
        <w:tblW w:w="8590" w:type="dxa"/>
        <w:jc w:val="left"/>
        <w:tblInd w:w="0" w:type="dxa"/>
        <w:tblLayout w:type="fixed"/>
        <w:tblCellMar>
          <w:top w:w="0" w:type="dxa"/>
          <w:left w:w="0" w:type="dxa"/>
          <w:bottom w:w="0" w:type="dxa"/>
          <w:right w:w="0" w:type="dxa"/>
        </w:tblCellMar>
      </w:tblPr>
      <w:tblGrid>
        <w:gridCol w:w="275"/>
        <w:gridCol w:w="8315"/>
      </w:tblGrid>
      <w:tr>
        <w:trPr/>
        <w:tc>
          <w:tcPr>
            <w:tcW w:w="275"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fee required</w:t>
            </w:r>
          </w:p>
        </w:tc>
      </w:tr>
      <w:tr>
        <w:trPr/>
        <w:tc>
          <w:tcPr>
            <w:tcW w:w="275"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Fee paid previously with preliminary materials</w:t>
            </w:r>
          </w:p>
        </w:tc>
      </w:tr>
      <w:tr>
        <w:trPr/>
        <w:tc>
          <w:tcPr>
            <w:tcW w:w="275"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ind w:left="0" w:right="0" w:hanging="0"/>
        <w:jc w:val="center"/>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r>
        <w:rPr/>
        <w:drawing>
          <wp:inline distT="0" distB="0" distL="0" distR="0">
            <wp:extent cx="24098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523875"/>
                    </a:xfrm>
                    <a:prstGeom prst="rect">
                      <a:avLst/>
                    </a:prstGeom>
                  </pic:spPr>
                </pic:pic>
              </a:graphicData>
            </a:graphic>
          </wp:inline>
        </w:drawing>
      </w: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hanging="0"/>
        <w:jc w:val="center"/>
        <w:rPr>
          <w:rFonts w:ascii="times new roman" w:hAnsi="times new roman"/>
          <w:sz w:val="20"/>
        </w:rPr>
      </w:pPr>
      <w:r>
        <w:rPr>
          <w:rFonts w:ascii="times new roman" w:hAnsi="times new roman"/>
          <w:sz w:val="20"/>
        </w:rPr>
        <w:t>Houston, Texas 77079</w:t>
      </w:r>
    </w:p>
    <w:p>
      <w:pPr>
        <w:pStyle w:val="TextBody"/>
        <w:bidi w:val="0"/>
        <w:spacing w:before="0" w:after="0"/>
        <w:ind w:left="0" w:right="0" w:hanging="0"/>
        <w:jc w:val="center"/>
        <w:rPr>
          <w:rFonts w:ascii="times new roman" w:hAnsi="times new roman"/>
          <w:sz w:val="20"/>
        </w:rPr>
      </w:pPr>
      <w:r>
        <w:rPr>
          <w:rFonts w:ascii="times new roman" w:hAnsi="times new roman"/>
          <w:sz w:val="20"/>
        </w:rPr>
        <w:t>(713) 221-1768</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Supplement to Proxy Statement</w:t>
      </w:r>
    </w:p>
    <w:p>
      <w:pPr>
        <w:pStyle w:val="TextBody"/>
        <w:bidi w:val="0"/>
        <w:spacing w:before="0" w:after="0"/>
        <w:ind w:left="0" w:right="0" w:hanging="0"/>
        <w:jc w:val="center"/>
        <w:rPr/>
      </w:pPr>
      <w:r>
        <w:rPr>
          <w:rStyle w:val="StrongEmphasis"/>
          <w:rFonts w:ascii="times new roman" w:hAnsi="times new roman"/>
          <w:sz w:val="20"/>
        </w:rPr>
        <w:t>for 2026 Annual Meeting of Stockholders</w:t>
      </w:r>
    </w:p>
    <w:p>
      <w:pPr>
        <w:pStyle w:val="TextBody"/>
        <w:bidi w:val="0"/>
        <w:spacing w:before="0" w:after="0"/>
        <w:ind w:left="0" w:right="0" w:hanging="0"/>
        <w:jc w:val="center"/>
        <w:rPr/>
      </w:pPr>
      <w:r>
        <w:rPr>
          <w:rStyle w:val="StrongEmphasis"/>
          <w:rFonts w:ascii="times new roman" w:hAnsi="times new roman"/>
          <w:sz w:val="20"/>
        </w:rPr>
        <w:t>to Be Held August 27, 2026</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This supplement (this “</w:t>
      </w:r>
      <w:r>
        <w:rPr>
          <w:rStyle w:val="Emphasis"/>
          <w:rFonts w:ascii="times new roman" w:hAnsi="times new roman"/>
          <w:sz w:val="20"/>
          <w:u w:val="single"/>
        </w:rPr>
        <w:t>Supplement</w:t>
      </w:r>
      <w:r>
        <w:rPr>
          <w:rStyle w:val="Emphasis"/>
          <w:rFonts w:ascii="times new roman" w:hAnsi="times new roman"/>
          <w:sz w:val="20"/>
        </w:rPr>
        <w:t>”) provides updated and supplemental information with respect to the 2026 Annual Meeting of Stockholders (the “</w:t>
      </w:r>
      <w:r>
        <w:rPr>
          <w:rStyle w:val="Emphasis"/>
          <w:rFonts w:ascii="times new roman" w:hAnsi="times new roman"/>
          <w:sz w:val="20"/>
          <w:u w:val="single"/>
        </w:rPr>
        <w:t>Annual Meeting</w:t>
      </w:r>
      <w:r>
        <w:rPr>
          <w:rStyle w:val="Emphasis"/>
          <w:rFonts w:ascii="times new roman" w:hAnsi="times new roman"/>
          <w:sz w:val="20"/>
        </w:rPr>
        <w:t>”) of PEDEVCO Corp. (the “</w:t>
      </w:r>
      <w:r>
        <w:rPr>
          <w:rStyle w:val="Emphasis"/>
          <w:rFonts w:ascii="times new roman" w:hAnsi="times new roman"/>
          <w:sz w:val="20"/>
          <w:u w:val="single"/>
        </w:rPr>
        <w:t>Company</w:t>
      </w:r>
      <w:r>
        <w:rPr>
          <w:rStyle w:val="Emphasis"/>
          <w:rFonts w:ascii="times new roman" w:hAnsi="times new roman"/>
          <w:sz w:val="20"/>
        </w:rPr>
        <w:t>,” “</w:t>
      </w:r>
      <w:r>
        <w:rPr>
          <w:rStyle w:val="Emphasis"/>
          <w:rFonts w:ascii="times new roman" w:hAnsi="times new roman"/>
          <w:sz w:val="20"/>
          <w:u w:val="single"/>
        </w:rPr>
        <w:t>we</w:t>
      </w:r>
      <w:r>
        <w:rPr>
          <w:rStyle w:val="Emphasis"/>
          <w:rFonts w:ascii="times new roman" w:hAnsi="times new roman"/>
          <w:sz w:val="20"/>
        </w:rPr>
        <w:t>,” “</w:t>
      </w:r>
      <w:r>
        <w:rPr>
          <w:rStyle w:val="Emphasis"/>
          <w:rFonts w:ascii="times new roman" w:hAnsi="times new roman"/>
          <w:sz w:val="20"/>
          <w:u w:val="single"/>
        </w:rPr>
        <w:t>us</w:t>
      </w:r>
      <w:r>
        <w:rPr>
          <w:rStyle w:val="Emphasis"/>
          <w:rFonts w:ascii="times new roman" w:hAnsi="times new roman"/>
          <w:sz w:val="20"/>
        </w:rPr>
        <w:t>,” “</w:t>
      </w:r>
      <w:r>
        <w:rPr>
          <w:rStyle w:val="Emphasis"/>
          <w:rFonts w:ascii="times new roman" w:hAnsi="times new roman"/>
          <w:sz w:val="20"/>
          <w:u w:val="single"/>
        </w:rPr>
        <w:t>our</w:t>
      </w:r>
      <w:r>
        <w:rPr>
          <w:rStyle w:val="Emphasis"/>
          <w:rFonts w:ascii="times new roman" w:hAnsi="times new roman"/>
          <w:sz w:val="20"/>
        </w:rPr>
        <w:t>,” or “</w:t>
      </w:r>
      <w:r>
        <w:rPr>
          <w:rStyle w:val="Emphasis"/>
          <w:rFonts w:ascii="times new roman" w:hAnsi="times new roman"/>
          <w:sz w:val="20"/>
          <w:u w:val="single"/>
        </w:rPr>
        <w:t>PEDEVCO</w:t>
      </w:r>
      <w:r>
        <w:rPr>
          <w:rStyle w:val="Emphasis"/>
          <w:rFonts w:ascii="times new roman" w:hAnsi="times new roman"/>
          <w:sz w:val="20"/>
        </w:rPr>
        <w:t>”), to be held on August 27, 2026, at 10:00 a.m. Central time via live audio teleconference, accessible at: </w:t>
      </w:r>
      <w:r>
        <w:rPr>
          <w:rFonts w:ascii="times new roman" w:hAnsi="times new roman"/>
          <w:sz w:val="20"/>
          <w:u w:val="single"/>
        </w:rPr>
        <w:t>https://edge.media-server.com/mmc/go/PED2026AGM</w:t>
      </w:r>
      <w:r>
        <w:rPr>
          <w:rStyle w:val="Emphasis"/>
          <w:rFonts w:ascii="times new roman" w:hAnsi="times new roman"/>
          <w:sz w:val="20"/>
        </w:rPr>
        <w:t>. This Supplement should be read in conjunction with the Notice of Annual Meeting of Stockholders and Proxy Statement (the “</w:t>
      </w:r>
      <w:r>
        <w:rPr>
          <w:rStyle w:val="Emphasis"/>
          <w:rFonts w:ascii="times new roman" w:hAnsi="times new roman"/>
          <w:sz w:val="20"/>
          <w:u w:val="single"/>
        </w:rPr>
        <w:t>Proxy Statement</w:t>
      </w:r>
      <w:r>
        <w:rPr>
          <w:rStyle w:val="Emphasis"/>
          <w:rFonts w:ascii="times new roman" w:hAnsi="times new roman"/>
          <w:sz w:val="20"/>
        </w:rPr>
        <w:t>”) for the Annual Meeting made available on or about July 15, 2026.</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Style w:val="Emphasis"/>
          <w:rFonts w:ascii="times new roman" w:hAnsi="times new roman"/>
          <w:sz w:val="20"/>
        </w:rPr>
        <w:t>Except as set forth below, this Supplement does not change the proposals to be presented at the Annual Meeting or our Board of Directors’ (the “</w:t>
      </w:r>
      <w:r>
        <w:rPr>
          <w:rStyle w:val="Emphasis"/>
          <w:rFonts w:ascii="times new roman" w:hAnsi="times new roman"/>
          <w:sz w:val="20"/>
          <w:u w:val="single"/>
        </w:rPr>
        <w:t>Board</w:t>
      </w:r>
      <w:r>
        <w:rPr>
          <w:rStyle w:val="Emphasis"/>
          <w:rFonts w:ascii="times new roman" w:hAnsi="times new roman"/>
          <w:sz w:val="20"/>
        </w:rPr>
        <w:t>”) recommendations with respect to the proposals, which are described in the Proxy Statement. Except as specifically supplemented or amended by the information contained in this Supplement, all information set forth in the Proxy Statement continues to apply and should be considered when voting your shares.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 xml:space="preserve">Explanatory Note </w:t>
      </w:r>
    </w:p>
    <w:p>
      <w:pPr>
        <w:pStyle w:val="TextBody"/>
        <w:bidi w:val="0"/>
        <w:spacing w:before="0" w:after="0"/>
        <w:ind w:left="0" w:right="0" w:firstLine="720"/>
        <w:jc w:val="both"/>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July 15, 2026, the Company filed the Proxy Statement on Schedule 14A with the Securities and Exchange Commission (the “</w:t>
      </w:r>
      <w:r>
        <w:rPr>
          <w:rFonts w:ascii="times new roman" w:hAnsi="times new roman"/>
          <w:sz w:val="20"/>
          <w:u w:val="single"/>
        </w:rPr>
        <w:t>Commission</w:t>
      </w:r>
      <w:r>
        <w:rPr>
          <w:rFonts w:ascii="times new roman" w:hAnsi="times new roman"/>
          <w:sz w:val="20"/>
        </w:rPr>
        <w:t>”), relating to the Annual Meeting, which contemplated that the Company would send a Notice of Internet Availability of Proxy Materials, or E-proxy notice, to our stockholders of record as of the close of business on June 30, 2026, the record date for the Annual Meeting (the “</w:t>
      </w:r>
      <w:r>
        <w:rPr>
          <w:rFonts w:ascii="times new roman" w:hAnsi="times new roman"/>
          <w:sz w:val="20"/>
          <w:u w:val="single"/>
        </w:rPr>
        <w:t>Record Date</w:t>
      </w:r>
      <w:r>
        <w:rPr>
          <w:rFonts w:ascii="times new roman" w:hAnsi="times new roman"/>
          <w:sz w:val="20"/>
        </w:rPr>
        <w:t>”), pursuant to the “</w:t>
      </w:r>
      <w:r>
        <w:rPr>
          <w:rFonts w:ascii="times new roman" w:hAnsi="times new roman"/>
          <w:sz w:val="20"/>
          <w:u w:val="single"/>
        </w:rPr>
        <w:t>notice only</w:t>
      </w:r>
      <w:r>
        <w:rPr>
          <w:rFonts w:ascii="times new roman" w:hAnsi="times new roman"/>
          <w:sz w:val="20"/>
        </w:rPr>
        <w:t>” option under Rule 14a-16 promulgated under the Securities Exchange Act of 1934, as amended.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has since elected to follow the “</w:t>
      </w:r>
      <w:r>
        <w:rPr>
          <w:rFonts w:ascii="times new roman" w:hAnsi="times new roman"/>
          <w:sz w:val="20"/>
          <w:u w:val="single"/>
        </w:rPr>
        <w:t>full set delivery</w:t>
      </w:r>
      <w:r>
        <w:rPr>
          <w:rFonts w:ascii="times new roman" w:hAnsi="times new roman"/>
          <w:sz w:val="20"/>
        </w:rPr>
        <w:t>” option under Rule 14a-16 with respect to the Annual Meeting. Accordingly, the Company is now mailing to its stockholders of record as of the Record Date a full set of proxy materials, consisting of the Notice of Annual Meeting of Stockholders, the Proxy Statement, the Annual Report on Form 10-K for the year ended December 31, 2025 (the “</w:t>
      </w:r>
      <w:r>
        <w:rPr>
          <w:rFonts w:ascii="times new roman" w:hAnsi="times new roman"/>
          <w:sz w:val="20"/>
          <w:u w:val="single"/>
        </w:rPr>
        <w:t>Annual Report</w:t>
      </w:r>
      <w:r>
        <w:rPr>
          <w:rFonts w:ascii="times new roman" w:hAnsi="times new roman"/>
          <w:sz w:val="20"/>
        </w:rPr>
        <w:t>”), and a proxy card (collectively, the “</w:t>
      </w:r>
      <w:r>
        <w:rPr>
          <w:rFonts w:ascii="times new roman" w:hAnsi="times new roman"/>
          <w:sz w:val="20"/>
          <w:u w:val="single"/>
        </w:rPr>
        <w:t>Proxy Materials</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Proxy Materials being mailed to you are identical to those filed with the Commission on July 15, 2026, and previously made available on the internet at </w:t>
      </w:r>
      <w:r>
        <w:rPr>
          <w:rFonts w:ascii="times new roman" w:hAnsi="times new roman"/>
          <w:sz w:val="20"/>
          <w:u w:val="single"/>
        </w:rPr>
        <w:t>www.iproxydirect.com/PED</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 previously received a Notice of Internet Availability of Proxy Materials in connection with the Annual Meeting, please note that the Proxy Materials now being mailed to you are the same Proxy Materials referenced in, and made available to you via the internet link provided in, that Notice. This mailing reflects only a change in the method by which the Company is delivering the Proxy Materials to you, and does not affect the substance of the matters to be voted on at the Annual Meeting.</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 have already submitted your vote using the instructions provided in the notice, you do not need to take any further action; your vote has been recorded and will be counted at the Annual Meeting unless you choose to change it.</w:t>
      </w:r>
    </w:p>
    <w:p>
      <w:pPr>
        <w:pStyle w:val="TextBody"/>
        <w:bidi w:val="0"/>
        <w:spacing w:before="0" w:after="0"/>
        <w:ind w:left="0" w:right="0" w:hanging="0"/>
        <w:jc w:val="both"/>
        <w:rPr/>
      </w:pPr>
      <w:r>
        <w:rPr/>
        <w:t xml:space="preserve">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r>
      <w:tr>
        <w:trPr/>
        <w:tc>
          <w:tcPr>
            <w:tcW w:w="215" w:type="dxa"/>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 wish to change your vote or have not yet voted, please follow the instructions on the proxy card forming a part of the Proxy Materials, or vote by internet, fax or telephone as described in the Proxy Materials.</w:t>
      </w:r>
    </w:p>
    <w:p>
      <w:pPr>
        <w:pStyle w:val="TextBody"/>
        <w:bidi w:val="0"/>
        <w:spacing w:before="0" w:after="0"/>
        <w:ind w:left="0" w:right="0" w:firstLine="1350"/>
        <w:jc w:val="both"/>
        <w:rPr/>
      </w:pPr>
      <w:r>
        <w:rPr/>
        <w:t> </w:t>
      </w:r>
    </w:p>
    <w:p>
      <w:pPr>
        <w:pStyle w:val="TextBody"/>
        <w:bidi w:val="0"/>
        <w:spacing w:before="0" w:after="0"/>
        <w:ind w:left="0" w:right="0" w:hanging="0"/>
        <w:jc w:val="both"/>
        <w:rPr/>
      </w:pPr>
      <w:r>
        <w:rPr>
          <w:rStyle w:val="Emphasis"/>
          <w:rFonts w:ascii="times new roman" w:hAnsi="times new roman"/>
          <w:sz w:val="20"/>
          <w:u w:val="single"/>
        </w:rPr>
        <w:t>Changes to Proxy Statement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a result of the above, the sections of the Proxy Statement under the headings “Important Notice Regarding the Availability of Proxy Materials” and “Voting Instructions”, are revised as set forth below, and all references to the sending of a Notice of Internet Availability of Proxy Materials as discussed in the Proxy Statement are replaced by a reference to the sending of a full-set of Proxy Statement materials.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Important Notice Regarding the Availability of Proxy Materials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All stockholders will have the ability to access the proxy materials (including the Company’s Annual Report on Form 10-K, which does not constitute a part of, and shall not be deemed incorporated by reference into, this proxy statement or the enclosed form of proxy) via the Internet at </w:t>
      </w:r>
      <w:r>
        <w:rPr>
          <w:rFonts w:ascii="times new roman" w:hAnsi="times new roman"/>
          <w:sz w:val="20"/>
          <w:u w:val="single"/>
        </w:rPr>
        <w:t>https://edge.media-server.com/mmc/go/PED2026AGM/</w:t>
      </w:r>
      <w:r>
        <w:rPr>
          <w:rFonts w:ascii="times new roman" w:hAnsi="times new roman"/>
          <w:sz w:val="20"/>
        </w:rPr>
        <w:t> or request a separate printed set of the proxy materials. Stockholders may also request materials at </w:t>
      </w:r>
      <w:r>
        <w:rPr>
          <w:rFonts w:ascii="times new roman" w:hAnsi="times new roman"/>
          <w:sz w:val="20"/>
          <w:u w:val="single"/>
        </w:rPr>
        <w:t>www.iproxydirect.com/PED</w:t>
      </w:r>
      <w:r>
        <w:rPr>
          <w:rFonts w:ascii="times new roman" w:hAnsi="times new roman"/>
          <w:sz w:val="20"/>
        </w:rPr>
        <w:t xml:space="preserve">. The proxy materials also contain a Control ID and Request ID that you will need to vote your shares and access the virtual annual meeting. Please keep these materials for your reference through the meeting date. In addition, stockholders may request to receive proxy materials in printed form by mail or electronically by email on an ongoing basis.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Voting Instructions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Your vote is very important. Whether or not you plan to attend the annual meeting, we encourage you to read this proxy statement and submit your proxy or voting instructions as soon as possible. For specific instructions on how to vote your shares, please refer to the instructions on your enclosed proxy card.</w:t>
      </w:r>
    </w:p>
    <w:p>
      <w:pPr>
        <w:pStyle w:val="TextBody"/>
        <w:bidi w:val="0"/>
        <w:spacing w:before="0" w:after="0"/>
        <w:ind w:left="0" w:right="0" w:hanging="0"/>
        <w:jc w:val="both"/>
        <w:rPr/>
      </w:pPr>
      <w:r>
        <w:rPr/>
        <w:t xml:space="preserve">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r>
    </w:tbl>
    <w:p>
      <w:pPr>
        <w:pStyle w:val="TextBody"/>
        <w:bidi w:val="0"/>
        <w:spacing w:before="0" w:after="0"/>
        <w:ind w:left="0" w:right="0" w:hanging="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945</Words>
  <Characters>4970</Characters>
  <CharactersWithSpaces>5911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