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pPr>
      <w:bookmarkStart w:id="0" w:name="ped_s3.htm"/>
      <w:bookmarkStart w:id="1" w:name="ksped_s3"/>
      <w:bookmarkEnd w:id="0"/>
      <w:bookmarkEnd w:id="1"/>
      <w:r>
        <w:rPr>
          <w:rStyle w:val="StrongEmphasis"/>
          <w:rFonts w:ascii="times new roman" w:hAnsi="times new roman"/>
          <w:sz w:val="20"/>
        </w:rPr>
        <w:t>As filed with the Securities and Exchange Commission on August 25, 2026</w:t>
      </w:r>
    </w:p>
    <w:p>
      <w:pPr>
        <w:pStyle w:val="TextBody"/>
        <w:bidi w:val="0"/>
        <w:spacing w:before="0" w:after="0"/>
        <w:ind w:left="0" w:right="0" w:hanging="0"/>
        <w:jc w:val="right"/>
        <w:rPr/>
      </w:pPr>
      <w:r>
        <w:rPr>
          <w:rStyle w:val="StrongEmphasis"/>
          <w:rFonts w:ascii="times new roman" w:hAnsi="times new roman"/>
          <w:sz w:val="20"/>
        </w:rPr>
        <w:t>Registration No. 333-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36"/>
        </w:rPr>
        <w:t>FORM S-3</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REGISTRATION STATEMENT</w:t>
      </w:r>
    </w:p>
    <w:p>
      <w:pPr>
        <w:pStyle w:val="TextBody"/>
        <w:bidi w:val="0"/>
        <w:spacing w:before="0" w:after="0"/>
        <w:ind w:left="0" w:right="0" w:hanging="0"/>
        <w:jc w:val="center"/>
        <w:rPr/>
      </w:pPr>
      <w:r>
        <w:rPr>
          <w:rStyle w:val="StrongEmphasis"/>
          <w:rFonts w:ascii="times new roman" w:hAnsi="times new roman"/>
          <w:sz w:val="20"/>
        </w:rPr>
        <w:t>UNDER</w:t>
      </w:r>
    </w:p>
    <w:p>
      <w:pPr>
        <w:pStyle w:val="TextBody"/>
        <w:bidi w:val="0"/>
        <w:spacing w:before="0" w:after="0"/>
        <w:ind w:left="0" w:right="0" w:hanging="0"/>
        <w:jc w:val="center"/>
        <w:rPr/>
      </w:pPr>
      <w:r>
        <w:rPr>
          <w:rStyle w:val="StrongEmphasis"/>
          <w:rFonts w:ascii="times new roman" w:hAnsi="times new roman"/>
          <w:sz w:val="20"/>
        </w:rPr>
        <w:t>THE SECURITIES ACT OF 1933</w:t>
      </w:r>
    </w:p>
    <w:p>
      <w:pPr>
        <w:pStyle w:val="TextBody"/>
        <w:bidi w:val="0"/>
        <w:spacing w:before="0" w:after="0"/>
        <w:ind w:left="0" w:right="0" w:hanging="0"/>
        <w:jc w:val="center"/>
        <w:rPr/>
      </w:pPr>
      <w:r>
        <w:rPr/>
        <w:t xml:space="preserve">  </w:t>
      </w:r>
    </w:p>
    <w:tbl>
      <w:tblPr>
        <w:tblW w:w="4235" w:type="dxa"/>
        <w:jc w:val="left"/>
        <w:tblInd w:w="0" w:type="dxa"/>
        <w:tblLayout w:type="fixed"/>
        <w:tblCellMar>
          <w:top w:w="0" w:type="dxa"/>
          <w:left w:w="0" w:type="dxa"/>
          <w:bottom w:w="28" w:type="dxa"/>
          <w:right w:w="0" w:type="dxa"/>
        </w:tblCellMar>
      </w:tblPr>
      <w:tblGrid>
        <w:gridCol w:w="4235"/>
      </w:tblGrid>
      <w:tr>
        <w:trPr/>
        <w:tc>
          <w:tcPr>
            <w:tcW w:w="423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42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bl>
    <w:p>
      <w:pPr>
        <w:pStyle w:val="TextBody"/>
        <w:bidi w:val="0"/>
        <w:spacing w:before="0" w:after="0"/>
        <w:ind w:left="0" w:right="0" w:hanging="0"/>
        <w:jc w:val="center"/>
        <w:rPr/>
      </w:pPr>
      <w:r>
        <w:rPr/>
        <w:t> </w:t>
      </w:r>
    </w:p>
    <w:tbl>
      <w:tblPr>
        <w:tblW w:w="4570" w:type="dxa"/>
        <w:jc w:val="left"/>
        <w:tblInd w:w="0" w:type="dxa"/>
        <w:tblLayout w:type="fixed"/>
        <w:tblCellMar>
          <w:top w:w="0" w:type="dxa"/>
          <w:left w:w="0" w:type="dxa"/>
          <w:bottom w:w="28" w:type="dxa"/>
          <w:right w:w="0" w:type="dxa"/>
        </w:tblCellMar>
      </w:tblPr>
      <w:tblGrid>
        <w:gridCol w:w="2525"/>
        <w:gridCol w:w="90"/>
        <w:gridCol w:w="1955"/>
      </w:tblGrid>
      <w:tr>
        <w:trPr/>
        <w:tc>
          <w:tcPr>
            <w:tcW w:w="252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Texas</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95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22-3755993</w:t>
            </w:r>
          </w:p>
        </w:tc>
      </w:tr>
      <w:tr>
        <w:trPr/>
        <w:tc>
          <w:tcPr>
            <w:tcW w:w="252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(State or other jurisdiction of</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incorporation or organization)</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Identification Number)</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575 N. Dairy Ashford, Suite 210</w:t>
      </w:r>
    </w:p>
    <w:p>
      <w:pPr>
        <w:pStyle w:val="TextBody"/>
        <w:bidi w:val="0"/>
        <w:spacing w:before="0" w:after="0"/>
        <w:ind w:left="0" w:right="0" w:hanging="0"/>
        <w:jc w:val="center"/>
        <w:rPr/>
      </w:pPr>
      <w:r>
        <w:rPr>
          <w:rStyle w:val="StrongEmphasis"/>
          <w:rFonts w:ascii="times new roman" w:hAnsi="times new roman"/>
          <w:sz w:val="20"/>
        </w:rPr>
        <w:t>Houston, Texas 77079</w:t>
      </w:r>
    </w:p>
    <w:p>
      <w:pPr>
        <w:pStyle w:val="TextBody"/>
        <w:bidi w:val="0"/>
        <w:spacing w:before="0" w:after="0"/>
        <w:ind w:left="0" w:right="0" w:hanging="0"/>
        <w:jc w:val="center"/>
        <w:rPr/>
      </w:pPr>
      <w:r>
        <w:rPr>
          <w:rStyle w:val="StrongEmphasis"/>
          <w:rFonts w:ascii="times new roman" w:hAnsi="times new roman"/>
          <w:sz w:val="20"/>
          <w:u w:val="single"/>
        </w:rPr>
        <w:t>(713) 221-1768</w:t>
      </w:r>
    </w:p>
    <w:p>
      <w:pPr>
        <w:pStyle w:val="TextBody"/>
        <w:bidi w:val="0"/>
        <w:spacing w:before="0" w:after="0"/>
        <w:ind w:left="0" w:right="0" w:hanging="0"/>
        <w:jc w:val="center"/>
        <w:rPr>
          <w:rFonts w:ascii="times new roman" w:hAnsi="times new roman"/>
          <w:sz w:val="20"/>
        </w:rPr>
      </w:pPr>
      <w:r>
        <w:rPr>
          <w:rFonts w:ascii="times new roman" w:hAnsi="times new roman"/>
          <w:sz w:val="20"/>
        </w:rPr>
        <w:t>(Address, including zip code, and telephone number, including area code, of registrant’s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J. Douglas Schick</w:t>
      </w:r>
    </w:p>
    <w:p>
      <w:pPr>
        <w:pStyle w:val="TextBody"/>
        <w:bidi w:val="0"/>
        <w:spacing w:before="0" w:after="0"/>
        <w:ind w:left="0" w:right="0" w:hanging="0"/>
        <w:jc w:val="center"/>
        <w:rPr/>
      </w:pPr>
      <w:r>
        <w:rPr>
          <w:rStyle w:val="StrongEmphasis"/>
          <w:rFonts w:ascii="times new roman" w:hAnsi="times new roman"/>
          <w:sz w:val="20"/>
        </w:rPr>
        <w:t>Chief Executive Officer</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575 N. Dairy Ashford, Suite 210</w:t>
      </w:r>
    </w:p>
    <w:p>
      <w:pPr>
        <w:pStyle w:val="TextBody"/>
        <w:bidi w:val="0"/>
        <w:spacing w:before="0" w:after="0"/>
        <w:ind w:left="0" w:right="0" w:hanging="0"/>
        <w:jc w:val="center"/>
        <w:rPr/>
      </w:pPr>
      <w:r>
        <w:rPr>
          <w:rStyle w:val="StrongEmphasis"/>
          <w:rFonts w:ascii="times new roman" w:hAnsi="times new roman"/>
          <w:sz w:val="20"/>
        </w:rPr>
        <w:t>Houston, Texas 77079</w:t>
      </w:r>
    </w:p>
    <w:p>
      <w:pPr>
        <w:pStyle w:val="TextBody"/>
        <w:bidi w:val="0"/>
        <w:spacing w:before="0" w:after="0"/>
        <w:ind w:left="0" w:right="0" w:hanging="0"/>
        <w:jc w:val="center"/>
        <w:rPr/>
      </w:pPr>
      <w:r>
        <w:rPr>
          <w:rStyle w:val="StrongEmphasis"/>
          <w:rFonts w:ascii="times new roman" w:hAnsi="times new roman"/>
          <w:sz w:val="20"/>
          <w:u w:val="single"/>
        </w:rPr>
        <w:t>(713) 221-1768</w:t>
      </w:r>
    </w:p>
    <w:p>
      <w:pPr>
        <w:pStyle w:val="TextBody"/>
        <w:bidi w:val="0"/>
        <w:spacing w:before="0" w:after="0"/>
        <w:ind w:left="0" w:right="0" w:hanging="0"/>
        <w:jc w:val="center"/>
        <w:rPr>
          <w:rFonts w:ascii="times new roman" w:hAnsi="times new roman"/>
          <w:sz w:val="20"/>
        </w:rPr>
      </w:pPr>
      <w:r>
        <w:rPr>
          <w:rFonts w:ascii="times new roman" w:hAnsi="times new roman"/>
          <w:sz w:val="20"/>
        </w:rPr>
        <w:t>(Name, Address, including Zip Code, and Telephone Number, including Area Code, of Agent for Service)</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Emphasis"/>
          <w:rFonts w:ascii="times new roman" w:hAnsi="times new roman"/>
          <w:sz w:val="20"/>
        </w:rPr>
        <w:t>Copies To:</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David M. Loev, Esq.</w:t>
      </w:r>
    </w:p>
    <w:p>
      <w:pPr>
        <w:pStyle w:val="TextBody"/>
        <w:bidi w:val="0"/>
        <w:spacing w:before="0" w:after="0"/>
        <w:ind w:left="0" w:right="0" w:hanging="0"/>
        <w:jc w:val="center"/>
        <w:rPr/>
      </w:pPr>
      <w:r>
        <w:rPr>
          <w:rStyle w:val="StrongEmphasis"/>
          <w:rFonts w:ascii="times new roman" w:hAnsi="times new roman"/>
          <w:sz w:val="20"/>
        </w:rPr>
        <w:t>John S. Gillies, Esq.</w:t>
      </w:r>
    </w:p>
    <w:p>
      <w:pPr>
        <w:pStyle w:val="TextBody"/>
        <w:bidi w:val="0"/>
        <w:spacing w:before="0" w:after="0"/>
        <w:ind w:left="0" w:right="0" w:hanging="0"/>
        <w:jc w:val="center"/>
        <w:rPr/>
      </w:pPr>
      <w:r>
        <w:rPr>
          <w:rStyle w:val="StrongEmphasis"/>
          <w:rFonts w:ascii="times new roman" w:hAnsi="times new roman"/>
          <w:sz w:val="20"/>
        </w:rPr>
        <w:t>The Loev Law Firm, PC</w:t>
      </w:r>
    </w:p>
    <w:p>
      <w:pPr>
        <w:pStyle w:val="TextBody"/>
        <w:bidi w:val="0"/>
        <w:spacing w:before="0" w:after="0"/>
        <w:ind w:left="0" w:right="0" w:hanging="0"/>
        <w:jc w:val="center"/>
        <w:rPr/>
      </w:pPr>
      <w:r>
        <w:rPr>
          <w:rStyle w:val="StrongEmphasis"/>
          <w:rFonts w:ascii="times new roman" w:hAnsi="times new roman"/>
          <w:sz w:val="20"/>
        </w:rPr>
        <w:t>6300 West Loop South, Suite 280</w:t>
      </w:r>
    </w:p>
    <w:p>
      <w:pPr>
        <w:pStyle w:val="TextBody"/>
        <w:bidi w:val="0"/>
        <w:spacing w:before="0" w:after="0"/>
        <w:ind w:left="0" w:right="0" w:hanging="0"/>
        <w:jc w:val="center"/>
        <w:rPr/>
      </w:pPr>
      <w:r>
        <w:rPr>
          <w:rStyle w:val="StrongEmphasis"/>
          <w:rFonts w:ascii="times new roman" w:hAnsi="times new roman"/>
          <w:sz w:val="20"/>
        </w:rPr>
        <w:t>Bellaire, Texas 77401</w:t>
      </w:r>
    </w:p>
    <w:p>
      <w:pPr>
        <w:pStyle w:val="TextBody"/>
        <w:bidi w:val="0"/>
        <w:spacing w:before="0" w:after="0"/>
        <w:ind w:left="0" w:right="0" w:hanging="0"/>
        <w:jc w:val="center"/>
        <w:rPr/>
      </w:pPr>
      <w:r>
        <w:rPr>
          <w:rStyle w:val="StrongEmphasis"/>
          <w:rFonts w:ascii="times new roman" w:hAnsi="times new roman"/>
          <w:sz w:val="20"/>
        </w:rPr>
        <w:t>Telephone: (713) 524-4110</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rFonts w:ascii="times new roman" w:hAnsi="times new roman"/>
          <w:sz w:val="20"/>
        </w:rPr>
        <w:t xml:space="preserve">Approximate date of commencement of proposed sale to the public: </w:t>
      </w:r>
      <w:r>
        <w:rPr>
          <w:rStyle w:val="StrongEmphasis"/>
          <w:rFonts w:ascii="times new roman" w:hAnsi="times new roman"/>
          <w:sz w:val="20"/>
        </w:rPr>
        <w:t>From time to time after this registration statement becomes effective.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w:t>
      </w:r>
      <w:r>
        <w:rPr>
          <w:rFonts w:ascii="times new roman" w:hAnsi="times new roman"/>
          <w:sz w:val="20"/>
          <w:u w:val="single"/>
        </w:rPr>
        <w:t>large accelerated filer,</w:t>
      </w:r>
      <w:r>
        <w:rPr>
          <w:rFonts w:ascii="times new roman" w:hAnsi="times new roman"/>
          <w:sz w:val="20"/>
        </w:rPr>
        <w:t>” “</w:t>
      </w:r>
      <w:r>
        <w:rPr>
          <w:rFonts w:ascii="times new roman" w:hAnsi="times new roman"/>
          <w:sz w:val="20"/>
          <w:u w:val="single"/>
        </w:rPr>
        <w:t>accelerated filer,</w:t>
      </w:r>
      <w:r>
        <w:rPr>
          <w:rFonts w:ascii="times new roman" w:hAnsi="times new roman"/>
          <w:sz w:val="20"/>
        </w:rPr>
        <w:t>” “</w:t>
      </w:r>
      <w:r>
        <w:rPr>
          <w:rFonts w:ascii="times new roman" w:hAnsi="times new roman"/>
          <w:sz w:val="20"/>
          <w:u w:val="single"/>
        </w:rPr>
        <w:t>smaller reporting company,</w:t>
      </w:r>
      <w:r>
        <w:rPr>
          <w:rFonts w:ascii="times new roman" w:hAnsi="times new roman"/>
          <w:sz w:val="20"/>
        </w:rPr>
        <w:t>” and “</w:t>
      </w:r>
      <w:r>
        <w:rPr>
          <w:rFonts w:ascii="times new roman" w:hAnsi="times new roman"/>
          <w:sz w:val="20"/>
          <w:u w:val="single"/>
        </w:rPr>
        <w:t>emerging growth company</w:t>
      </w:r>
      <w:r>
        <w:rPr>
          <w:rFonts w:ascii="times new roman" w:hAnsi="times new roman"/>
          <w:sz w:val="20"/>
        </w:rPr>
        <w:t>” in Rule 12b-2 of the Exchange Act.</w:t>
      </w:r>
    </w:p>
    <w:p>
      <w:pPr>
        <w:pStyle w:val="TextBody"/>
        <w:bidi w:val="0"/>
        <w:spacing w:before="0" w:after="0"/>
        <w:ind w:left="0" w:right="0" w:hanging="0"/>
        <w:jc w:val="both"/>
        <w:rPr/>
      </w:pPr>
      <w:r>
        <w:rPr/>
        <w:t> </w:t>
      </w:r>
    </w:p>
    <w:tbl>
      <w:tblPr>
        <w:tblW w:w="4895" w:type="dxa"/>
        <w:jc w:val="left"/>
        <w:tblInd w:w="0" w:type="dxa"/>
        <w:tblLayout w:type="fixed"/>
        <w:tblCellMar>
          <w:top w:w="0" w:type="dxa"/>
          <w:left w:w="0" w:type="dxa"/>
          <w:bottom w:w="0" w:type="dxa"/>
          <w:right w:w="0" w:type="dxa"/>
        </w:tblCellMar>
      </w:tblPr>
      <w:tblGrid>
        <w:gridCol w:w="1910"/>
        <w:gridCol w:w="320"/>
        <w:gridCol w:w="2300"/>
        <w:gridCol w:w="365"/>
      </w:tblGrid>
      <w:tr>
        <w:trPr/>
        <w:tc>
          <w:tcPr>
            <w:tcW w:w="19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Large accelerated filer </w:t>
            </w:r>
          </w:p>
        </w:tc>
        <w:tc>
          <w:tcPr>
            <w:tcW w:w="320" w:type="dxa"/>
            <w:tcBorders/>
            <w:vAlign w:val="center"/>
          </w:tcPr>
          <w:p>
            <w:pPr>
              <w:pStyle w:val="TableContents"/>
              <w:bidi w:val="0"/>
              <w:spacing w:before="0" w:after="0"/>
              <w:ind w:left="0" w:right="0" w:hanging="0"/>
              <w:jc w:val="left"/>
              <w:rPr/>
            </w:pPr>
            <w:r>
              <w:rPr/>
              <w:t>☐</w:t>
            </w:r>
          </w:p>
        </w:tc>
        <w:tc>
          <w:tcPr>
            <w:tcW w:w="23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Accelerated filer </w:t>
            </w:r>
          </w:p>
        </w:tc>
        <w:tc>
          <w:tcPr>
            <w:tcW w:w="365"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Non-accelerated filer </w:t>
            </w:r>
          </w:p>
        </w:tc>
        <w:tc>
          <w:tcPr>
            <w:tcW w:w="320" w:type="dxa"/>
            <w:tcBorders/>
            <w:vAlign w:val="center"/>
          </w:tcPr>
          <w:p>
            <w:pPr>
              <w:pStyle w:val="TableContents"/>
              <w:bidi w:val="0"/>
              <w:spacing w:before="0" w:after="0"/>
              <w:ind w:left="0" w:right="0" w:hanging="0"/>
              <w:jc w:val="left"/>
              <w:rPr/>
            </w:pPr>
            <w:r>
              <w:rPr/>
              <w:t>☒ </w:t>
            </w:r>
          </w:p>
        </w:tc>
        <w:tc>
          <w:tcPr>
            <w:tcW w:w="23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Smaller reporting company </w:t>
            </w:r>
          </w:p>
        </w:tc>
        <w:tc>
          <w:tcPr>
            <w:tcW w:w="365" w:type="dxa"/>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Emerging growth company </w:t>
            </w:r>
          </w:p>
        </w:tc>
        <w:tc>
          <w:tcPr>
            <w:tcW w:w="36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said Section 8(a), may determine.</w:t>
      </w:r>
    </w:p>
    <w:p>
      <w:pPr>
        <w:pStyle w:val="TextBody"/>
        <w:bidi w:val="0"/>
        <w:spacing w:before="0" w:after="0"/>
        <w:ind w:left="0" w:right="0" w:hanging="0"/>
        <w:jc w:val="left"/>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color w:val="FF0000"/>
          <w:sz w:val="20"/>
        </w:rPr>
        <w:t>The information in this prospectus is not complete and may be changed. The selling stockholders may not sell these securities pursuant to this prospectus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both"/>
        <w:rPr>
          <w:color w:val="FF0000"/>
        </w:rPr>
      </w:pPr>
      <w:r>
        <w:rPr>
          <w:color w:val="FF0000"/>
        </w:rPr>
        <w:t> </w:t>
      </w:r>
    </w:p>
    <w:p>
      <w:pPr>
        <w:pStyle w:val="TextBody"/>
        <w:bidi w:val="0"/>
        <w:spacing w:before="0" w:after="0"/>
        <w:ind w:left="0" w:right="0" w:hanging="0"/>
        <w:jc w:val="center"/>
        <w:rPr/>
      </w:pPr>
      <w:r>
        <w:rPr>
          <w:rStyle w:val="StrongEmphasis"/>
          <w:rFonts w:ascii="times new roman" w:hAnsi="times new roman"/>
          <w:color w:val="FF0000"/>
          <w:sz w:val="20"/>
        </w:rPr>
        <w:t>SUBJECT TO COMPLETION, DATED AUGUST 25, 2026</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rStyle w:val="StrongEmphasis"/>
          <w:rFonts w:ascii="times new roman" w:hAnsi="times new roman"/>
          <w:sz w:val="20"/>
        </w:rPr>
        <w:t>PRELIMINARY PROSPECTUS</w:t>
      </w:r>
    </w:p>
    <w:p>
      <w:pPr>
        <w:pStyle w:val="TextBody"/>
        <w:bidi w:val="0"/>
        <w:spacing w:before="0" w:after="0"/>
        <w:ind w:left="0" w:right="0" w:hanging="0"/>
        <w:jc w:val="center"/>
        <w:rPr/>
      </w:pPr>
      <w:r>
        <w:rPr/>
        <w:drawing>
          <wp:inline distT="0" distB="0" distL="0" distR="0">
            <wp:extent cx="293370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33700" cy="600075"/>
                    </a:xfrm>
                    <a:prstGeom prst="rect">
                      <a:avLst/>
                    </a:prstGeom>
                  </pic:spPr>
                </pic:pic>
              </a:graphicData>
            </a:graphic>
          </wp:inline>
        </w:drawing>
      </w: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11,040,909 Shares of Common Stock</w:t>
      </w:r>
    </w:p>
    <w:p>
      <w:pPr>
        <w:pStyle w:val="TextBody"/>
        <w:bidi w:val="0"/>
        <w:spacing w:before="0" w:after="0"/>
        <w:ind w:left="0" w:right="0" w:hanging="0"/>
        <w:jc w:val="center"/>
        <w:rPr/>
      </w:pPr>
      <w:r>
        <w:rPr/>
        <w:t> </w:t>
      </w:r>
    </w:p>
    <w:p>
      <w:pPr>
        <w:pStyle w:val="TextBody"/>
        <w:bidi w:val="0"/>
        <w:spacing w:before="0" w:after="0"/>
        <w:ind w:left="0" w:right="0" w:firstLine="675"/>
        <w:jc w:val="both"/>
        <w:rPr/>
      </w:pPr>
      <w:r>
        <w:rPr>
          <w:rFonts w:ascii="times new roman" w:hAnsi="times new roman"/>
          <w:sz w:val="20"/>
        </w:rPr>
        <w:t>This prospectus relates to the possible resale or other disposition, from time to time, of up to 11,040,909 shares of common stock, par value $0.001 per share, of PEDEVCO Corp., which we refer to as the “Company”, “we” or “us”, by the selling stockholders named in this prospectus or in supplements to this prospectus. See “</w:t>
      </w:r>
      <w:r>
        <w:rPr>
          <w:rFonts w:ascii="times new roman" w:hAnsi="times new roman"/>
          <w:sz w:val="20"/>
          <w:u w:val="single"/>
        </w:rPr>
        <w:t>Selling Stockholders</w:t>
      </w:r>
      <w:r>
        <w:rPr>
          <w:rFonts w:ascii="times new roman" w:hAnsi="times new roman"/>
          <w:sz w:val="20"/>
        </w:rPr>
        <w:t>.” We are registering the applicable shares of our common stock to allow the selling stockholders, together with any additional selling stockholders listed in any applicable prospectus supplement, to sell the shares of common stock pursuant to the registration statement of which this prospectus forms a part. The registration of the shares of our common stock covered by this prospectus does not necessarily mean that any shares of our common stock will be sold by any of the selling stockholders, and we cannot predict when or in what amounts any of the selling stockholders may sell any of our shares of common stock offered by this prospectus. The prices at which the selling stockholders may sell the shares of our common stock will be determined by prevailing market prices or at prices that may be obtained in negotiated transactions. We are filing the registration statement of which this prospectus is a part pursuant to contractual obligations that exist with certain of the selling stockholders, as described in more detail in this prospectus under “</w:t>
      </w:r>
      <w:r>
        <w:rPr>
          <w:rStyle w:val="Emphasis"/>
          <w:rFonts w:ascii="times new roman" w:hAnsi="times new roman"/>
          <w:sz w:val="20"/>
          <w:u w:val="single"/>
        </w:rPr>
        <w:t>Prospectus Summary—Merger Agreement; —PIPE Offering</w:t>
      </w:r>
      <w:r>
        <w:rPr>
          <w:rStyle w:val="Emphasis"/>
          <w:rFonts w:ascii="times new roman" w:hAnsi="times new roman"/>
          <w:sz w:val="20"/>
        </w:rPr>
        <w:t>; and </w:t>
      </w:r>
      <w:r>
        <w:rPr>
          <w:rStyle w:val="Emphasis"/>
          <w:rFonts w:ascii="times new roman" w:hAnsi="times new roman"/>
          <w:sz w:val="20"/>
          <w:u w:val="single"/>
        </w:rPr>
        <w:t>—</w:t>
      </w:r>
      <w:r>
        <w:rPr>
          <w:rStyle w:val="Emphasis"/>
          <w:rFonts w:ascii="times new roman" w:hAnsi="times new roman"/>
          <w:sz w:val="20"/>
        </w:rPr>
        <w:t xml:space="preserve"> </w:t>
      </w:r>
      <w:r>
        <w:rPr>
          <w:rStyle w:val="Emphasis"/>
          <w:rFonts w:ascii="times new roman" w:hAnsi="times new roman"/>
          <w:sz w:val="20"/>
          <w:u w:val="single"/>
        </w:rPr>
        <w:t>Dr. Simon Kukes 2018/2019 Funding Transactions</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are not selling any shares of our common stock under this prospectus and any prospectus supplement, and will not receive any proceeds from any sale or disposition by the selling stockholders of the shares of our common stock covered by this prospectus and any prospectus supplement. The selling stockholders may offer and sell the shares in a variety of transactions as described under the heading “Plan of Distribution”, including directly or through one or more underwriters, broker-dealers or agents on terms to be determined at the time of sale. We have no basis for estimating either the number of shares of our common stock that will ultimately be sold by the selling stockholders or the prices at which such shares will be sold.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are bearing all of the expenses in connection with the registration of the shares of common stock, but all selling expenses incurred by the selling stockholders, including commissions and discounts, if any, attributable to the sale or disposition of the shares will be borne by them.</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and intermediaries through whom such securities are sold may be deemed “</w:t>
      </w:r>
      <w:r>
        <w:rPr>
          <w:rFonts w:ascii="times new roman" w:hAnsi="times new roman"/>
          <w:sz w:val="20"/>
          <w:u w:val="single"/>
        </w:rPr>
        <w:t>underwriters</w:t>
      </w:r>
      <w:r>
        <w:rPr>
          <w:rFonts w:ascii="times new roman" w:hAnsi="times new roman"/>
          <w:sz w:val="20"/>
        </w:rPr>
        <w:t>” within the meaning of the Securities Act of 1933, as amended (the “</w:t>
      </w:r>
      <w:r>
        <w:rPr>
          <w:rFonts w:ascii="times new roman" w:hAnsi="times new roman"/>
          <w:sz w:val="20"/>
          <w:u w:val="single"/>
        </w:rPr>
        <w:t>Securities Act</w:t>
      </w:r>
      <w:r>
        <w:rPr>
          <w:rFonts w:ascii="times new roman" w:hAnsi="times new roman"/>
          <w:sz w:val="20"/>
        </w:rPr>
        <w:t>”), with respect to the securities offered hereby, and any profits realized or commissions received may be deemed underwriting compensation.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any securities covered by this prospectus which qualify for sale pursuant to Rule 144 of the Securities Act may be sold under Rule 144 rather than pursuant to this prospectus.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common stock trades on the NYSE American, or NYSE, under the symbol “</w:t>
      </w:r>
      <w:r>
        <w:rPr>
          <w:rFonts w:ascii="times new roman" w:hAnsi="times new roman"/>
          <w:sz w:val="20"/>
          <w:u w:val="single"/>
        </w:rPr>
        <w:t>PED</w:t>
      </w:r>
      <w:r>
        <w:rPr>
          <w:rFonts w:ascii="times new roman" w:hAnsi="times new roman"/>
          <w:sz w:val="20"/>
        </w:rPr>
        <w:t>.” On August 24, 2026, the last reported sale price of our common stock on NYSE was $13.56 per share.</w:t>
      </w:r>
    </w:p>
    <w:p>
      <w:pPr>
        <w:pStyle w:val="TextBody"/>
        <w:bidi w:val="0"/>
        <w:spacing w:before="0" w:after="0"/>
        <w:ind w:left="0" w:right="0" w:firstLine="720"/>
        <w:jc w:val="both"/>
        <w:rPr/>
      </w:pPr>
      <w:r>
        <w:rPr/>
        <w:t> </w:t>
      </w:r>
    </w:p>
    <w:p>
      <w:pPr>
        <w:pStyle w:val="TextBody"/>
        <w:bidi w:val="0"/>
        <w:spacing w:before="0" w:after="0"/>
        <w:ind w:left="0" w:right="0" w:firstLine="675"/>
        <w:jc w:val="both"/>
        <w:rPr/>
      </w:pPr>
      <w:r>
        <w:rPr>
          <w:rStyle w:val="StrongEmphasis"/>
          <w:rFonts w:ascii="times new roman" w:hAnsi="times new roman"/>
          <w:sz w:val="20"/>
        </w:rPr>
        <w:t>You should read this prospectus, together with additional information described under the headings “Incorporation of Certain Documents by Reference” and “Where You Can Find More Information,” carefully before you invest in any of our securities.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Investing in our securities involves risks. You should carefully consider the risk factors incorporated by reference herein as discussed in the “Risk Factors” section beginning on page 9 of this prospectus and set forth in the documents incorporated by reference herein before making any decision to invest in our securities.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both"/>
        <w:rPr/>
      </w:pPr>
      <w:r>
        <w:rPr/>
        <w:t> </w:t>
      </w:r>
    </w:p>
    <w:p>
      <w:pPr>
        <w:pStyle w:val="TextBody"/>
        <w:bidi w:val="0"/>
        <w:spacing w:before="0" w:after="0"/>
        <w:ind w:left="0" w:right="0" w:firstLine="675"/>
        <w:jc w:val="center"/>
        <w:rPr/>
      </w:pPr>
      <w:r>
        <w:rPr>
          <w:rStyle w:val="StrongEmphasis"/>
          <w:rFonts w:ascii="times new roman" w:hAnsi="times new roman"/>
          <w:sz w:val="20"/>
        </w:rPr>
        <w:t>THE DATE OF THIS PROSPECTUS IS ____________, 2026</w:t>
      </w:r>
    </w:p>
    <w:p>
      <w:pPr>
        <w:pStyle w:val="TextBody"/>
        <w:bidi w:val="0"/>
        <w:spacing w:before="0" w:after="0"/>
        <w:ind w:left="0" w:right="0" w:hanging="0"/>
        <w:jc w:val="left"/>
        <w:rPr/>
      </w:pPr>
      <w:r>
        <w:rPr/>
        <w:t xml:space="preserve">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2" w:name="toc"/>
      <w:bookmarkEnd w:id="2"/>
      <w:r>
        <w:rPr>
          <w:rStyle w:val="StrongEmphasis"/>
          <w:rFonts w:ascii="times new roman" w:hAnsi="times new roman"/>
          <w:sz w:val="20"/>
        </w:rPr>
        <w:t>TABLE OF CONTENTS</w:t>
      </w:r>
    </w:p>
    <w:p>
      <w:pPr>
        <w:pStyle w:val="TextBody"/>
        <w:bidi w:val="0"/>
        <w:spacing w:before="0" w:after="0"/>
        <w:ind w:left="0" w:right="0" w:hanging="0"/>
        <w:jc w:val="center"/>
        <w:rPr/>
      </w:pPr>
      <w:r>
        <w:rPr/>
        <w:t> </w:t>
      </w:r>
    </w:p>
    <w:tbl>
      <w:tblPr>
        <w:tblW w:w="5560" w:type="dxa"/>
        <w:jc w:val="left"/>
        <w:tblInd w:w="0" w:type="dxa"/>
        <w:tblLayout w:type="fixed"/>
        <w:tblCellMar>
          <w:top w:w="0" w:type="dxa"/>
          <w:left w:w="0" w:type="dxa"/>
          <w:bottom w:w="0" w:type="dxa"/>
          <w:right w:w="0" w:type="dxa"/>
        </w:tblCellMar>
      </w:tblPr>
      <w:tblGrid>
        <w:gridCol w:w="5075"/>
        <w:gridCol w:w="90"/>
        <w:gridCol w:w="260"/>
        <w:gridCol w:w="135"/>
      </w:tblGrid>
      <w:tr>
        <w:trPr/>
        <w:tc>
          <w:tcPr>
            <w:tcW w:w="5075" w:type="dxa"/>
            <w:tcBorders/>
            <w:shd w:fill="CCEEFF" w:val="clear"/>
            <w:vAlign w:val="center"/>
          </w:tcPr>
          <w:p>
            <w:pPr>
              <w:pStyle w:val="TableContents"/>
              <w:bidi w:val="0"/>
              <w:spacing w:before="0" w:after="0"/>
              <w:ind w:left="0" w:right="0" w:hanging="0"/>
              <w:jc w:val="both"/>
              <w:rPr/>
            </w:pPr>
            <w:hyperlink w:anchor="ABOUTTHISPROSPECTUS">
              <w:r>
                <w:rPr>
                  <w:rStyle w:val="InternetLink"/>
                  <w:rFonts w:ascii="times new roman" w:hAnsi="times new roman"/>
                  <w:b/>
                  <w:b/>
                  <w:bCs/>
                  <w:sz w:val="20"/>
                </w:rPr>
                <w:t>About This Prospectus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075" w:type="dxa"/>
            <w:tcBorders/>
            <w:shd w:fill="FFFFFF" w:val="clear"/>
            <w:vAlign w:val="center"/>
          </w:tcPr>
          <w:p>
            <w:pPr>
              <w:pStyle w:val="TableContents"/>
              <w:bidi w:val="0"/>
              <w:spacing w:before="0" w:after="0"/>
              <w:ind w:left="0" w:right="0" w:hanging="0"/>
              <w:jc w:val="both"/>
              <w:rPr/>
            </w:pPr>
            <w:hyperlink w:anchor="PROSPECTUSSUMMARY">
              <w:r>
                <w:rPr>
                  <w:rStyle w:val="InternetLink"/>
                  <w:rFonts w:ascii="times new roman" w:hAnsi="times new roman"/>
                  <w:b/>
                  <w:b/>
                  <w:bCs/>
                  <w:sz w:val="20"/>
                </w:rPr>
                <w:t>Prospectus Summary</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both"/>
              <w:rPr/>
            </w:pPr>
            <w:hyperlink w:anchor="THEOFFERING">
              <w:r>
                <w:rPr>
                  <w:rStyle w:val="InternetLink"/>
                  <w:rFonts w:ascii="times new roman" w:hAnsi="times new roman"/>
                  <w:b/>
                  <w:b/>
                  <w:bCs/>
                  <w:sz w:val="20"/>
                </w:rPr>
                <w:t>The Offering</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8</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075" w:type="dxa"/>
            <w:tcBorders/>
            <w:shd w:fill="FFFFFF" w:val="clear"/>
            <w:vAlign w:val="center"/>
          </w:tcPr>
          <w:p>
            <w:pPr>
              <w:pStyle w:val="TableContents"/>
              <w:bidi w:val="0"/>
              <w:spacing w:before="0" w:after="0"/>
              <w:ind w:left="0" w:right="0" w:hanging="0"/>
              <w:jc w:val="both"/>
              <w:rPr/>
            </w:pPr>
            <w:hyperlink w:anchor="RISKFACTORS">
              <w:r>
                <w:rPr>
                  <w:rStyle w:val="InternetLink"/>
                  <w:rFonts w:ascii="times new roman" w:hAnsi="times new roman"/>
                  <w:b/>
                  <w:b/>
                  <w:bCs/>
                  <w:sz w:val="20"/>
                </w:rPr>
                <w:t>Risk Factors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9</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both"/>
              <w:rPr/>
            </w:pPr>
            <w:hyperlink w:anchor="CAUTIONARYNOTE">
              <w:r>
                <w:rPr>
                  <w:rStyle w:val="InternetLink"/>
                  <w:rFonts w:ascii="times new roman" w:hAnsi="times new roman"/>
                  <w:b/>
                  <w:b/>
                  <w:bCs/>
                  <w:sz w:val="20"/>
                </w:rPr>
                <w:t>Cautionary Note Regarding Forward-Looking Information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075" w:type="dxa"/>
            <w:tcBorders/>
            <w:shd w:fill="FFFFFF" w:val="clear"/>
            <w:vAlign w:val="center"/>
          </w:tcPr>
          <w:p>
            <w:pPr>
              <w:pStyle w:val="TableContents"/>
              <w:bidi w:val="0"/>
              <w:spacing w:before="0" w:after="0"/>
              <w:ind w:left="0" w:right="0" w:hanging="0"/>
              <w:jc w:val="both"/>
              <w:rPr/>
            </w:pPr>
            <w:hyperlink w:anchor="USEOFPROCEEDS">
              <w:r>
                <w:rPr>
                  <w:rStyle w:val="InternetLink"/>
                  <w:rFonts w:ascii="times new roman" w:hAnsi="times new roman"/>
                  <w:b/>
                  <w:b/>
                  <w:bCs/>
                  <w:sz w:val="20"/>
                </w:rPr>
                <w:t>Use of Proceeds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11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both"/>
              <w:rPr/>
            </w:pPr>
            <w:hyperlink w:anchor="SELLINGSTOCKHOLDERS">
              <w:r>
                <w:rPr>
                  <w:rStyle w:val="InternetLink"/>
                  <w:rFonts w:ascii="times new roman" w:hAnsi="times new roman"/>
                  <w:b/>
                  <w:b/>
                  <w:bCs/>
                  <w:sz w:val="20"/>
                </w:rPr>
                <w:t>Selling Stockholders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075" w:type="dxa"/>
            <w:tcBorders/>
            <w:shd w:fill="FFFFFF" w:val="clear"/>
            <w:vAlign w:val="center"/>
          </w:tcPr>
          <w:p>
            <w:pPr>
              <w:pStyle w:val="TableContents"/>
              <w:bidi w:val="0"/>
              <w:spacing w:before="0" w:after="0"/>
              <w:ind w:left="0" w:right="0" w:hanging="0"/>
              <w:jc w:val="both"/>
              <w:rPr/>
            </w:pPr>
            <w:hyperlink w:anchor="PLANOFDISTRIBUTION">
              <w:r>
                <w:rPr>
                  <w:rStyle w:val="InternetLink"/>
                  <w:rFonts w:ascii="times new roman" w:hAnsi="times new roman"/>
                  <w:b/>
                  <w:b/>
                  <w:bCs/>
                  <w:sz w:val="20"/>
                </w:rPr>
                <w:t>Plan of Distribution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15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both"/>
              <w:rPr/>
            </w:pPr>
            <w:hyperlink w:anchor="DESCRIPTIONOFCAPITALSTOCK">
              <w:r>
                <w:rPr>
                  <w:rStyle w:val="InternetLink"/>
                  <w:rFonts w:ascii="times new roman" w:hAnsi="times new roman"/>
                  <w:b/>
                  <w:b/>
                  <w:bCs/>
                  <w:sz w:val="20"/>
                </w:rPr>
                <w:t>Description of Capital Stock</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075" w:type="dxa"/>
            <w:tcBorders/>
            <w:shd w:fill="FFFFFF" w:val="clear"/>
            <w:vAlign w:val="center"/>
          </w:tcPr>
          <w:p>
            <w:pPr>
              <w:pStyle w:val="TableContents"/>
              <w:bidi w:val="0"/>
              <w:spacing w:before="0" w:after="0"/>
              <w:ind w:left="0" w:right="0" w:hanging="0"/>
              <w:jc w:val="both"/>
              <w:rPr/>
            </w:pPr>
            <w:hyperlink w:anchor="LEGALMATTERS">
              <w:r>
                <w:rPr>
                  <w:rStyle w:val="InternetLink"/>
                  <w:rFonts w:ascii="times new roman" w:hAnsi="times new roman"/>
                  <w:b/>
                  <w:b/>
                  <w:bCs/>
                  <w:sz w:val="20"/>
                </w:rPr>
                <w:t>Legal Matters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21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both"/>
              <w:rPr/>
            </w:pPr>
            <w:hyperlink w:anchor="expets">
              <w:r>
                <w:rPr>
                  <w:rStyle w:val="InternetLink"/>
                  <w:rFonts w:ascii="times new roman" w:hAnsi="times new roman"/>
                  <w:b/>
                  <w:b/>
                  <w:bCs/>
                  <w:sz w:val="20"/>
                </w:rPr>
                <w:t>Experts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21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5075" w:type="dxa"/>
            <w:tcBorders/>
            <w:shd w:fill="FFFFFF" w:val="clear"/>
            <w:vAlign w:val="center"/>
          </w:tcPr>
          <w:p>
            <w:pPr>
              <w:pStyle w:val="TableContents"/>
              <w:bidi w:val="0"/>
              <w:spacing w:before="0" w:after="0"/>
              <w:ind w:left="0" w:right="0" w:hanging="0"/>
              <w:jc w:val="both"/>
              <w:rPr/>
            </w:pPr>
            <w:hyperlink w:anchor="WHEREYOUCAN">
              <w:r>
                <w:rPr>
                  <w:rStyle w:val="InternetLink"/>
                  <w:rFonts w:ascii="times new roman" w:hAnsi="times new roman"/>
                  <w:b/>
                  <w:b/>
                  <w:bCs/>
                  <w:sz w:val="20"/>
                </w:rPr>
                <w:t>Where You Can Find More Information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right"/>
              <w:rPr/>
            </w:pPr>
            <w:r>
              <w:rPr>
                <w:rStyle w:val="StrongEmphasis"/>
                <w:rFonts w:ascii="times new roman" w:hAnsi="times new roman"/>
                <w:sz w:val="20"/>
              </w:rPr>
              <w:t>22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both"/>
              <w:rPr/>
            </w:pPr>
            <w:hyperlink w:anchor="INCORPORATIONOFCERTAINDOCUMENTS">
              <w:r>
                <w:rPr>
                  <w:rStyle w:val="InternetLink"/>
                  <w:rFonts w:ascii="times new roman" w:hAnsi="times new roman"/>
                  <w:b/>
                  <w:b/>
                  <w:bCs/>
                  <w:sz w:val="20"/>
                </w:rPr>
                <w:t>Incorporation of Certain Documents by Reference</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22</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logo and some of our trademarks and tradenames are used in this prospectus. This prospectus also includes trademarks, tradenames and service marks that are the property of others. Solely for convenience, trademarks, tradenames and service marks referred to in this prospectus may appear without the ®, ™ and SM symbols. References to our trademarks, tradenames and service marks are not intended to indicate in any way that we will not assert to the fullest extent under applicable law our rights or the rights of the applicable licensors if any, nor that respective owners to other intellectual property rights will not assert, to the fullest extent under applicable law, their rights thereto. We do not intend the use or display of other companies’ trademarks and trade names to imply a relationship with, or endorsement or sponsorship of us by, any other companies.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The market data and certain other statistical information used throughout this prospectus are based on independent industry publications, reports by market research firms or other independent sources that we believe to be reliable sources; however, we have not commissioned any of the market or survey data that is presented in this prospectus.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disclosures contained in this prospectus, and we believe these industry publications and third-party research, surveys and studies are reliable, provided that we have not commissioned any such information.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entitled “</w:t>
      </w:r>
      <w:r>
        <w:rPr>
          <w:rStyle w:val="Emphasis"/>
          <w:rFonts w:ascii="times new roman" w:hAnsi="times new roman"/>
          <w:sz w:val="20"/>
          <w:u w:val="single"/>
        </w:rPr>
        <w:t>Risk Factors</w:t>
      </w:r>
      <w:r>
        <w:rPr>
          <w:rFonts w:ascii="times new roman" w:hAnsi="times new roman"/>
          <w:sz w:val="20"/>
        </w:rPr>
        <w:t>” of this prospectus. These and other factors could cause our future performance to differ materially from our assumptions and estimates. Some market and other data included herein, as well as the data of competitors as they relate to PEDEVCO Corp., is also based on our good faith estimates.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Unless the context requires otherwise, references to the “</w:t>
      </w:r>
      <w:r>
        <w:rPr>
          <w:rFonts w:ascii="times new roman" w:hAnsi="times new roman"/>
          <w:sz w:val="20"/>
          <w:u w:val="single"/>
        </w:rPr>
        <w:t>Company</w:t>
      </w:r>
      <w:r>
        <w:rPr>
          <w:rFonts w:ascii="times new roman" w:hAnsi="times new roman"/>
          <w:sz w:val="20"/>
        </w:rPr>
        <w:t>,” “</w:t>
      </w:r>
      <w:r>
        <w:rPr>
          <w:rFonts w:ascii="times new roman" w:hAnsi="times new roman"/>
          <w:sz w:val="20"/>
          <w:u w:val="single"/>
        </w:rPr>
        <w:t>we</w:t>
      </w:r>
      <w:r>
        <w:rPr>
          <w:rFonts w:ascii="times new roman" w:hAnsi="times new roman"/>
          <w:sz w:val="20"/>
        </w:rPr>
        <w:t>,” “</w:t>
      </w:r>
      <w:r>
        <w:rPr>
          <w:rFonts w:ascii="times new roman" w:hAnsi="times new roman"/>
          <w:sz w:val="20"/>
          <w:u w:val="single"/>
        </w:rPr>
        <w:t>us</w:t>
      </w:r>
      <w:r>
        <w:rPr>
          <w:rFonts w:ascii="times new roman" w:hAnsi="times new roman"/>
          <w:sz w:val="20"/>
        </w:rPr>
        <w:t>,” “</w:t>
      </w:r>
      <w:r>
        <w:rPr>
          <w:rFonts w:ascii="times new roman" w:hAnsi="times new roman"/>
          <w:sz w:val="20"/>
          <w:u w:val="single"/>
        </w:rPr>
        <w:t>our</w:t>
      </w:r>
      <w:r>
        <w:rPr>
          <w:rFonts w:ascii="times new roman" w:hAnsi="times new roman"/>
          <w:sz w:val="20"/>
        </w:rPr>
        <w:t>,” “</w:t>
      </w:r>
      <w:r>
        <w:rPr>
          <w:rFonts w:ascii="times new roman" w:hAnsi="times new roman"/>
          <w:sz w:val="20"/>
          <w:u w:val="single"/>
        </w:rPr>
        <w:t>PEDEVCO</w:t>
      </w:r>
      <w:r>
        <w:rPr>
          <w:rFonts w:ascii="times new roman" w:hAnsi="times new roman"/>
          <w:sz w:val="20"/>
        </w:rPr>
        <w:t>”, and “</w:t>
      </w:r>
      <w:r>
        <w:rPr>
          <w:rFonts w:ascii="times new roman" w:hAnsi="times new roman"/>
          <w:sz w:val="20"/>
          <w:u w:val="single"/>
        </w:rPr>
        <w:t>PEDEVCO Corp.</w:t>
      </w:r>
      <w:r>
        <w:rPr>
          <w:rFonts w:ascii="times new roman" w:hAnsi="times new roman"/>
          <w:sz w:val="20"/>
        </w:rPr>
        <w:t>” refer specifically to PEDEVCO Corp. and its consolidated subsidiaries.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unless the context otherwise requires and for the purposes of this prospectus only:</w:t>
      </w:r>
    </w:p>
    <w:p>
      <w:pPr>
        <w:pStyle w:val="TextBody"/>
        <w:bidi w:val="0"/>
        <w:spacing w:before="0" w:after="0"/>
        <w:ind w:left="0" w:right="0" w:hanging="0"/>
        <w:jc w:val="both"/>
        <w:rPr/>
      </w:pPr>
      <w:r>
        <w:rPr/>
        <w:t> </w:t>
      </w:r>
    </w:p>
    <w:tbl>
      <w:tblPr>
        <w:tblW w:w="6483" w:type="dxa"/>
        <w:jc w:val="left"/>
        <w:tblInd w:w="0" w:type="dxa"/>
        <w:tblLayout w:type="fixed"/>
        <w:tblCellMar>
          <w:top w:w="0" w:type="dxa"/>
          <w:left w:w="0" w:type="dxa"/>
          <w:bottom w:w="0" w:type="dxa"/>
          <w:right w:w="0" w:type="dxa"/>
        </w:tblCellMar>
      </w:tblPr>
      <w:tblGrid>
        <w:gridCol w:w="68"/>
        <w:gridCol w:w="200"/>
        <w:gridCol w:w="62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6215" w:type="dxa"/>
            <w:tcBorders/>
            <w:vAlign w:val="center"/>
          </w:tcPr>
          <w:p>
            <w:pPr>
              <w:pStyle w:val="TableContents"/>
              <w:bidi w:val="0"/>
              <w:spacing w:before="0" w:after="0"/>
              <w:ind w:left="0" w:right="0" w:hanging="0"/>
              <w:jc w:val="both"/>
              <w:rPr/>
            </w:pPr>
            <w:r>
              <w:rPr/>
              <w:t>“</w:t>
            </w:r>
            <w:r>
              <w:rPr>
                <w:rFonts w:ascii="times new roman" w:hAnsi="times new roman"/>
                <w:sz w:val="20"/>
                <w:u w:val="single"/>
              </w:rPr>
              <w:t>Exchange Act</w:t>
            </w:r>
            <w:r>
              <w:rPr>
                <w:rFonts w:ascii="times new roman" w:hAnsi="times new roman"/>
                <w:sz w:val="20"/>
              </w:rPr>
              <w:t>” refers to the Securities Exchange Act of 1934, as amended;</w:t>
            </w:r>
          </w:p>
        </w:tc>
      </w:tr>
    </w:tbl>
    <w:p>
      <w:pPr>
        <w:pStyle w:val="TextBody"/>
        <w:bidi w:val="0"/>
        <w:spacing w:before="0" w:after="0"/>
        <w:ind w:left="0" w:right="0" w:hanging="0"/>
        <w:jc w:val="both"/>
        <w:rPr/>
      </w:pPr>
      <w:r>
        <w:rPr/>
        <w:t> </w:t>
      </w:r>
    </w:p>
    <w:tbl>
      <w:tblPr>
        <w:tblW w:w="8298" w:type="dxa"/>
        <w:jc w:val="left"/>
        <w:tblInd w:w="0" w:type="dxa"/>
        <w:tblLayout w:type="fixed"/>
        <w:tblCellMar>
          <w:top w:w="0" w:type="dxa"/>
          <w:left w:w="0" w:type="dxa"/>
          <w:bottom w:w="0" w:type="dxa"/>
          <w:right w:w="0" w:type="dxa"/>
        </w:tblCellMar>
      </w:tblPr>
      <w:tblGrid>
        <w:gridCol w:w="68"/>
        <w:gridCol w:w="200"/>
        <w:gridCol w:w="80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8030" w:type="dxa"/>
            <w:tcBorders/>
            <w:vAlign w:val="center"/>
          </w:tcPr>
          <w:p>
            <w:pPr>
              <w:pStyle w:val="TableContents"/>
              <w:bidi w:val="0"/>
              <w:spacing w:before="0" w:after="0"/>
              <w:ind w:left="0" w:right="0" w:hanging="0"/>
              <w:jc w:val="both"/>
              <w:rPr/>
            </w:pPr>
            <w:r>
              <w:rPr/>
              <w:t>“</w:t>
            </w:r>
            <w:r>
              <w:rPr>
                <w:rFonts w:ascii="times new roman" w:hAnsi="times new roman"/>
                <w:sz w:val="20"/>
                <w:u w:val="single"/>
              </w:rPr>
              <w:t>SEC</w:t>
            </w:r>
            <w:r>
              <w:rPr>
                <w:rFonts w:ascii="times new roman" w:hAnsi="times new roman"/>
                <w:sz w:val="20"/>
              </w:rPr>
              <w:t>” or the “</w:t>
            </w:r>
            <w:r>
              <w:rPr>
                <w:rFonts w:ascii="times new roman" w:hAnsi="times new roman"/>
                <w:sz w:val="20"/>
                <w:u w:val="single"/>
              </w:rPr>
              <w:t>Commission</w:t>
            </w:r>
            <w:r>
              <w:rPr>
                <w:rFonts w:ascii="times new roman" w:hAnsi="times new roman"/>
                <w:sz w:val="20"/>
              </w:rPr>
              <w:t>” refers to the United States Securities and Exchange Commission; and</w:t>
            </w:r>
          </w:p>
        </w:tc>
      </w:tr>
    </w:tbl>
    <w:p>
      <w:pPr>
        <w:pStyle w:val="TextBody"/>
        <w:bidi w:val="0"/>
        <w:spacing w:before="0" w:after="0"/>
        <w:ind w:left="0" w:right="0" w:hanging="0"/>
        <w:jc w:val="both"/>
        <w:rPr/>
      </w:pPr>
      <w:r>
        <w:rPr/>
        <w:t> </w:t>
      </w:r>
    </w:p>
    <w:tbl>
      <w:tblPr>
        <w:tblW w:w="5635" w:type="dxa"/>
        <w:jc w:val="left"/>
        <w:tblInd w:w="0" w:type="dxa"/>
        <w:tblLayout w:type="fixed"/>
        <w:tblCellMar>
          <w:top w:w="0" w:type="dxa"/>
          <w:left w:w="0" w:type="dxa"/>
          <w:bottom w:w="0" w:type="dxa"/>
          <w:right w:w="0" w:type="dxa"/>
        </w:tblCellMar>
      </w:tblPr>
      <w:tblGrid>
        <w:gridCol w:w="105"/>
        <w:gridCol w:w="200"/>
        <w:gridCol w:w="5330"/>
      </w:tblGrid>
      <w:tr>
        <w:trPr/>
        <w:tc>
          <w:tcPr>
            <w:tcW w:w="105" w:type="dxa"/>
            <w:tcBorders/>
            <w:vAlign w:val="center"/>
          </w:tcPr>
          <w:p>
            <w:pPr>
              <w:pStyle w:val="TableContents"/>
              <w:bidi w:val="0"/>
              <w:spacing w:before="0" w:after="0"/>
              <w:ind w:left="0" w:right="0" w:hanging="0"/>
              <w:jc w:val="both"/>
              <w:rPr/>
            </w:pPr>
            <w:r>
              <w:rPr/>
              <w:t> </w:t>
            </w:r>
          </w:p>
        </w:tc>
        <w:tc>
          <w:tcPr>
            <w:tcW w:w="200" w:type="dxa"/>
            <w:tcBorders/>
            <w:vAlign w:val="center"/>
          </w:tcPr>
          <w:p>
            <w:pPr>
              <w:pStyle w:val="TableContents"/>
              <w:bidi w:val="0"/>
              <w:spacing w:before="0" w:after="0"/>
              <w:ind w:left="0" w:right="0" w:hanging="0"/>
              <w:jc w:val="both"/>
              <w:rPr/>
            </w:pPr>
            <w:r>
              <w:rPr/>
              <w:t>●</w:t>
            </w:r>
          </w:p>
        </w:tc>
        <w:tc>
          <w:tcPr>
            <w:tcW w:w="5330" w:type="dxa"/>
            <w:tcBorders/>
            <w:vAlign w:val="center"/>
          </w:tcPr>
          <w:p>
            <w:pPr>
              <w:pStyle w:val="TableContents"/>
              <w:bidi w:val="0"/>
              <w:spacing w:before="0" w:after="0"/>
              <w:ind w:left="0" w:right="0" w:hanging="0"/>
              <w:jc w:val="both"/>
              <w:rPr/>
            </w:pPr>
            <w:r>
              <w:rPr/>
              <w:t>“</w:t>
            </w:r>
            <w:r>
              <w:rPr>
                <w:rFonts w:ascii="times new roman" w:hAnsi="times new roman"/>
                <w:sz w:val="20"/>
                <w:u w:val="single"/>
              </w:rPr>
              <w:t>Securities Act</w:t>
            </w:r>
            <w:r>
              <w:rPr>
                <w:rFonts w:ascii="times new roman" w:hAnsi="times new roman"/>
                <w:sz w:val="20"/>
              </w:rPr>
              <w:t>” refers to the Securities Act of 1933, as amended.</w:t>
            </w:r>
          </w:p>
        </w:tc>
      </w:tr>
    </w:tbl>
    <w:p>
      <w:pPr>
        <w:pStyle w:val="TextBody"/>
        <w:bidi w:val="0"/>
        <w:spacing w:before="0" w:after="0"/>
        <w:ind w:left="0" w:right="0" w:hanging="0"/>
        <w:jc w:val="left"/>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ii</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Additionally, certain abbreviations and oil and gas industry terms used throughout this prospectus and in the documents incorporated by reference herein are described and defined in greater detail under “</w:t>
      </w:r>
      <w:r>
        <w:rPr>
          <w:rFonts w:ascii="times new roman" w:hAnsi="times new roman"/>
          <w:sz w:val="20"/>
          <w:u w:val="single"/>
        </w:rPr>
        <w:t>Glossary of Oil and Natural Gas Terms</w:t>
      </w:r>
      <w:r>
        <w:rPr>
          <w:rFonts w:ascii="times new roman" w:hAnsi="times new roman"/>
          <w:sz w:val="20"/>
        </w:rPr>
        <w:t>” beginning on page 4 of our Annual Report for the year ended December 31, 2025, which is incorporated by reference herein (see the information under the headings “</w:t>
      </w:r>
      <w:r>
        <w:rPr>
          <w:rFonts w:ascii="times new roman" w:hAnsi="times new roman"/>
          <w:sz w:val="20"/>
          <w:u w:val="single"/>
        </w:rPr>
        <w:t>Incorporation of Certain Documents by Reference</w:t>
      </w:r>
      <w:r>
        <w:rPr>
          <w:rFonts w:ascii="times new roman" w:hAnsi="times new roman"/>
          <w:sz w:val="20"/>
        </w:rPr>
        <w:t>” and “</w:t>
      </w:r>
      <w:r>
        <w:rPr>
          <w:rFonts w:ascii="times new roman" w:hAnsi="times new roman"/>
          <w:sz w:val="20"/>
          <w:u w:val="single"/>
        </w:rPr>
        <w:t>Where You Can Find More Information</w:t>
      </w:r>
      <w:r>
        <w:rPr>
          <w:rFonts w:ascii="times new roman" w:hAnsi="times new roman"/>
          <w:sz w:val="20"/>
        </w:rPr>
        <w:t>”), and readers are encouraged to review that information.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March 10, 2026, we filed a Certificate of Amendment to our Second Amended and Restated Certificate of Formation (the “</w:t>
      </w:r>
      <w:r>
        <w:rPr>
          <w:rFonts w:ascii="times new roman" w:hAnsi="times new roman"/>
          <w:sz w:val="20"/>
          <w:u w:val="single"/>
        </w:rPr>
        <w:t>Certificate of Amendment</w:t>
      </w:r>
      <w:r>
        <w:rPr>
          <w:rFonts w:ascii="times new roman" w:hAnsi="times new roman"/>
          <w:sz w:val="20"/>
        </w:rPr>
        <w:t>”) with the Secretary of State of the State of Texas to effect a reverse stock split of our common stock at a ratio of 1-for-20, and to pay in cash the fair value of fractions of a share of common stock as of the time when those entitled to receive such fractions are determined (the “</w:t>
      </w:r>
      <w:r>
        <w:rPr>
          <w:rFonts w:ascii="times new roman" w:hAnsi="times new roman"/>
          <w:sz w:val="20"/>
          <w:u w:val="single"/>
        </w:rPr>
        <w:t>Reverse Stock Split</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Certificate of Amendment, the Reverse Stock Split became effective on March 13, 2026 at 12:01 a.m. Eastern Time (the “</w:t>
      </w:r>
      <w:r>
        <w:rPr>
          <w:rFonts w:ascii="times new roman" w:hAnsi="times new roman"/>
          <w:sz w:val="20"/>
          <w:u w:val="single"/>
        </w:rPr>
        <w:t>Effective Time</w:t>
      </w:r>
      <w:r>
        <w:rPr>
          <w:rFonts w:ascii="times new roman" w:hAnsi="times new roman"/>
          <w:sz w:val="20"/>
        </w:rPr>
        <w:t>”) and at the Effective Time, every twenty (20) shares of issued and outstanding common stock were converted into one (1) share of issued and outstanding common stock. No fractional shares were issued in connection with the Reverse Stock Split, and stockholders who would have otherwise been entitled to receive a fractional share as a result of the Reverse Stock Split instead received cash in lieu of such fractional share, based upon the closing sale price of the common stock on the trading day immediately prior to the Effective Time as reported on the NYSE American.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the number of shares of common stock issuable upon exercise of our stock options and other equity awards (including shares reserved for issuance under the Company’s equity compensation plans) were proportionately adjusted by the applicable administrator, using the 1-for-20 ratio, and rounded down to the nearest whole share, effective as of the Effective Time, pursuant to the terms of the Company’s equity compensation plans. In addition, the exercise price for each outstanding stock option was increased in inverse proportion to the 1-for-20 split ratio such that, upon exercise, the aggregate exercise price payable by the optionee to the Company for the shares subject to the option will remain approximately the same as the aggregate exercise price prior to the Reverse Stock Split, subject to the terms of such securities.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effects of the Reverse Stock Split have been retroactively affected throughout this prospectus unless otherwise stated.</w:t>
      </w:r>
    </w:p>
    <w:p>
      <w:pPr>
        <w:pStyle w:val="TextBody"/>
        <w:bidi w:val="0"/>
        <w:spacing w:before="0" w:after="0"/>
        <w:ind w:left="0" w:right="0" w:hanging="0"/>
        <w:jc w:val="left"/>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iii</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3" w:name="ABOUTTHISPROSPECTUS"/>
      <w:bookmarkEnd w:id="3"/>
      <w:r>
        <w:rPr>
          <w:rStyle w:val="StrongEmphasis"/>
          <w:rFonts w:ascii="times new roman" w:hAnsi="times new roman"/>
          <w:sz w:val="20"/>
        </w:rPr>
        <w:t>ABOUT THIS PROSPECTUS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prospectus is part of a registration statement that we filed with the Securities and Exchange Commission (the “</w:t>
      </w:r>
      <w:r>
        <w:rPr>
          <w:rFonts w:ascii="times new roman" w:hAnsi="times new roman"/>
          <w:sz w:val="20"/>
          <w:u w:val="single"/>
        </w:rPr>
        <w:t>Commission</w:t>
      </w:r>
      <w:r>
        <w:rPr>
          <w:rFonts w:ascii="times new roman" w:hAnsi="times new roman"/>
          <w:sz w:val="20"/>
        </w:rPr>
        <w:t>” or the “</w:t>
      </w:r>
      <w:r>
        <w:rPr>
          <w:rFonts w:ascii="times new roman" w:hAnsi="times new roman"/>
          <w:sz w:val="20"/>
          <w:u w:val="single"/>
        </w:rPr>
        <w:t>SEC</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utilizing a “</w:t>
      </w:r>
      <w:r>
        <w:rPr>
          <w:rFonts w:ascii="times new roman" w:hAnsi="times new roman"/>
          <w:sz w:val="20"/>
          <w:u w:val="single"/>
        </w:rPr>
        <w:t>shelf</w:t>
      </w:r>
      <w:r>
        <w:rPr>
          <w:rFonts w:ascii="times new roman" w:hAnsi="times new roman"/>
          <w:sz w:val="20"/>
        </w:rPr>
        <w:t>” registration process. Under this process, selling stockholders named in this prospectus or in one or more supplements to this prospectus may sell shares of common stock from time to time. Each time any selling stockholder not named herein sells shares of common stock under the registration statement of which this prospectus is a part, such selling stockholder will provide a copy of this prospectus and any applicable prospectus supplement, as required by law. Any applicable prospectus supplement may add, update, or change information contained in this prospectus. To the extent that any statement that we or the selling stockholders make in a prospectus supplement is inconsistent with statements made in this prospectus or in documents incorporated by reference in this prospectus, the statements made or incorporated by reference in this prospectus will be deemed modified or superseded by those made in the prospectus supplement.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prospectus relates to the resale by the selling stockholders listed in this prospectus of up to 11,040,909 shares of our common stock. We will not receive any proceeds from the resale of any of the shares by the selling stockholders. We have agreed to pay for the expenses related to the registration of the shares being offered by the selling stockholders.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should read this prospectus, including all documents incorporated herein by reference, together with additional information described under “</w:t>
      </w:r>
      <w:r>
        <w:rPr>
          <w:rFonts w:ascii="times new roman" w:hAnsi="times new roman"/>
          <w:sz w:val="20"/>
          <w:u w:val="single"/>
        </w:rPr>
        <w:t>Where You Can Find More Information</w:t>
      </w:r>
      <w:r>
        <w:rPr>
          <w:rFonts w:ascii="times new roman" w:hAnsi="times new roman"/>
          <w:sz w:val="20"/>
        </w:rPr>
        <w:t>” and “</w:t>
      </w:r>
      <w:r>
        <w:rPr>
          <w:rFonts w:ascii="times new roman" w:hAnsi="times new roman"/>
          <w:sz w:val="20"/>
          <w:u w:val="single"/>
        </w:rPr>
        <w:t>Incorporation of Certain Information by Reference</w:t>
      </w:r>
      <w:r>
        <w:rPr>
          <w:rFonts w:ascii="times new roman" w:hAnsi="times new roman"/>
          <w:sz w:val="20"/>
        </w:rPr>
        <w:t>”, before making an investment decision.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prospectus does not contain all the information provided in the registration statement we filed with the SEC. For further information about us or our securities offered hereby, you should refer to that registration statement, which you can obtain from the SEC as described below under “</w:t>
      </w:r>
      <w:r>
        <w:rPr>
          <w:rFonts w:ascii="times new roman" w:hAnsi="times new roman"/>
          <w:sz w:val="20"/>
          <w:u w:val="single"/>
        </w:rPr>
        <w:t>Where You Can Find More Information</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should rely only on the information contained or incorporated by reference in this prospectus, any accompanying prospectus supplement and any applicable “free writing prospectus.” We and the selling stockholders have not authorized any other person to provide you with different information. If anyone provides you with different or inconsistent information, you should not rely on it. This prospectus is not an offer to sell or the solicitation of an offer to buy any securities other than the securities to which it relates and is not an offer to sell or the solicitation of an offer to buy securities in any jurisdiction to any person to whom it is unlawful to make an offer or solicitation in that jurisdiction. You should assume that the information appearing in this prospectus, as well as information we have previously filed with the SEC and incorporated herein by reference, is accurate as of the date of those documents only. Our business, financial condition, results of operations and prospects may have changed since those dates.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do not imply or represent by delivering this prospectus that PEDEVCO Corp., or its business, financial condition or results of operations, are unchanged after the date on the front of this prospectus or that the information in this prospectus is correct at any time after such date, provided that we will amend or supplement this prospectus to disclose any material events which occur after the date of such prospectus to the extent required by applicable law.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may from time to time offer and sell, transfer or otherwise dispose of any or all of the shares of our common stock covered by this prospectus directly or through one or more underwriters, broker-dealers, or agents on terms to be determined at the time of sale. A prospectus supplement may describe the terms of the plan of distribution, and set forth the names of any underwriters involved in the sale of our common stock. See “</w:t>
      </w:r>
      <w:r>
        <w:rPr>
          <w:rFonts w:ascii="times new roman" w:hAnsi="times new roman"/>
          <w:sz w:val="20"/>
          <w:u w:val="single"/>
        </w:rPr>
        <w:t>Plan of Distribution</w:t>
      </w:r>
      <w:r>
        <w:rPr>
          <w:rFonts w:ascii="times new roman" w:hAnsi="times new roman"/>
          <w:sz w:val="20"/>
        </w:rPr>
        <w:t>” for more information.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should carefully read the entire prospectus, as well as the documents incorporated by reference in the prospectus, any applicable prospectus supplement and any applicable “free writing prospectus” before making an investment decision.</w:t>
      </w:r>
    </w:p>
    <w:p>
      <w:pPr>
        <w:pStyle w:val="TextBody"/>
        <w:bidi w:val="0"/>
        <w:spacing w:before="0" w:after="0"/>
        <w:ind w:left="0" w:right="0" w:hanging="0"/>
        <w:jc w:val="left"/>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10205" w:type="dxa"/>
            <w:gridSpan w:val="2"/>
            <w:tcBorders/>
            <w:vAlign w:val="center"/>
          </w:tcPr>
          <w:p>
            <w:pPr>
              <w:pStyle w:val="TableContents"/>
              <w:bidi w:val="0"/>
              <w:spacing w:before="0" w:after="0"/>
              <w:ind w:left="0" w:right="0" w:hanging="0"/>
              <w:jc w:val="center"/>
              <w:rPr/>
            </w:pPr>
            <w:bookmarkStart w:id="4" w:name="PROSPECTUSSUMMARY"/>
            <w:bookmarkEnd w:id="4"/>
            <w:r>
              <w:rPr>
                <w:rStyle w:val="StrongEmphasis"/>
                <w:rFonts w:ascii="times new roman" w:hAnsi="times new roman"/>
                <w:sz w:val="20"/>
              </w:rPr>
              <w:t>PROSPECTUS SUMMARY</w:t>
            </w:r>
          </w:p>
          <w:p>
            <w:pPr>
              <w:pStyle w:val="TableContents"/>
              <w:bidi w:val="0"/>
              <w:spacing w:before="0" w:after="0"/>
              <w:ind w:left="0" w:right="0" w:hanging="0"/>
              <w:jc w:val="center"/>
              <w:rPr/>
            </w:pPr>
            <w:r>
              <w:rPr/>
              <w:t> </w:t>
            </w:r>
          </w:p>
          <w:p>
            <w:pPr>
              <w:pStyle w:val="TableContents"/>
              <w:bidi w:val="0"/>
              <w:spacing w:before="0" w:after="0"/>
              <w:ind w:left="0" w:right="0" w:firstLine="675"/>
              <w:jc w:val="both"/>
              <w:rPr/>
            </w:pPr>
            <w:r>
              <w:rPr>
                <w:rStyle w:val="Emphasis"/>
                <w:rFonts w:ascii="times new roman" w:hAnsi="times new roman"/>
                <w:sz w:val="20"/>
              </w:rPr>
              <w:t>This summary highlights information contained elsewhere in this prospectus. This summary does not contain all of the information that you should consider before deciding to invest in our securities. You should read this entire prospectus carefully, including the “</w:t>
            </w:r>
            <w:r>
              <w:rPr>
                <w:rStyle w:val="Emphasis"/>
                <w:rFonts w:ascii="times new roman" w:hAnsi="times new roman"/>
                <w:sz w:val="20"/>
                <w:u w:val="single"/>
              </w:rPr>
              <w:t>Risk Factors</w:t>
            </w:r>
            <w:r>
              <w:rPr>
                <w:rStyle w:val="Emphasis"/>
                <w:rFonts w:ascii="times new roman" w:hAnsi="times new roman"/>
                <w:sz w:val="20"/>
              </w:rPr>
              <w:t>” section, as well as our historical financial statements and the notes thereto which are incorporated by reference in this prospectus.</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rStyle w:val="StrongEmphasis"/>
                <w:rFonts w:ascii="times new roman" w:hAnsi="times new roman"/>
                <w:sz w:val="20"/>
              </w:rPr>
              <w:t>Our Company</w:t>
            </w:r>
            <w:r>
              <w:rPr>
                <w:rFonts w:ascii="times new roman" w:hAnsi="times new roman"/>
                <w:sz w:val="20"/>
              </w:rPr>
              <w:t> </w:t>
            </w:r>
          </w:p>
          <w:p>
            <w:pPr>
              <w:pStyle w:val="TableContents"/>
              <w:bidi w:val="0"/>
              <w:spacing w:before="0" w:after="0"/>
              <w:ind w:left="0" w:right="0" w:hanging="0"/>
              <w:jc w:val="left"/>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We are an oil and gas company focused on the acquisition and development of oil and natural gas assets where the latest in modern drilling and completion techniques and technologies have yet to be applied. In particular, we focus on legacy proven properties where there is a long production history, well defined geology and existing infrastructure that can be leveraged when applying modern field management technologies. Our current properties are located in the Denver-Julesberg Basin (“</w:t>
            </w:r>
            <w:r>
              <w:rPr>
                <w:rFonts w:ascii="times new roman" w:hAnsi="times new roman"/>
                <w:sz w:val="20"/>
                <w:u w:val="single"/>
              </w:rPr>
              <w:t>D-J Basin</w:t>
            </w:r>
            <w:r>
              <w:rPr>
                <w:rFonts w:ascii="times new roman" w:hAnsi="times new roman"/>
                <w:sz w:val="20"/>
              </w:rPr>
              <w:t>”) in Colorado and Wyoming, the Powder River Basin (“</w:t>
            </w:r>
            <w:r>
              <w:rPr>
                <w:rFonts w:ascii="times new roman" w:hAnsi="times new roman"/>
                <w:sz w:val="20"/>
                <w:u w:val="single"/>
              </w:rPr>
              <w:t>PRB</w:t>
            </w:r>
            <w:r>
              <w:rPr>
                <w:rFonts w:ascii="times new roman" w:hAnsi="times new roman"/>
                <w:sz w:val="20"/>
              </w:rPr>
              <w:t>”) in Wyoming, and in the San Andres formation of the Permian Basin situated in West Texas and eastern New Mexico (the “</w:t>
            </w:r>
            <w:r>
              <w:rPr>
                <w:rFonts w:ascii="times new roman" w:hAnsi="times new roman"/>
                <w:sz w:val="20"/>
                <w:u w:val="single"/>
              </w:rPr>
              <w:t>Permian Basin</w:t>
            </w:r>
            <w:r>
              <w:rPr>
                <w:rFonts w:ascii="times new roman" w:hAnsi="times new roman"/>
                <w:sz w:val="20"/>
              </w:rPr>
              <w:t>”).</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rStyle w:val="Emphasis"/>
                <w:rFonts w:ascii="times new roman" w:hAnsi="times new roman"/>
                <w:sz w:val="20"/>
              </w:rPr>
              <w:t>Business Strategy</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We believe that horizontal development and exploitation of conventional and unconventional oil and gas assets in the Rockies region, including the D-J Basin and Powder River Basins, and the Permian Basin, represent among the most economic oil and natural gas plays in the U.S. We plan to optimize our existing assets and opportunistically seek additional acreage proximate to our currently held core acreage, as well as target other acquisitions in the Rockies region that fit our acquisition criteria. We believe there is a significant opportunity to build a leading oil and gas company in the Rockies region through both organic growth and acquisitions on terms that are more attractive than what we see in other oil and gas producing basins. </w:t>
            </w:r>
          </w:p>
          <w:p>
            <w:pPr>
              <w:pStyle w:val="TableContents"/>
              <w:bidi w:val="0"/>
              <w:spacing w:before="0" w:after="0"/>
              <w:ind w:left="0" w:right="0" w:firstLine="675"/>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Specifically, we seek to increase stockholder value through the following strategies:</w:t>
            </w:r>
          </w:p>
        </w:tc>
      </w:tr>
      <w:tr>
        <w:trPr/>
        <w:tc>
          <w:tcPr>
            <w:tcW w:w="218" w:type="dxa"/>
            <w:tcBorders/>
            <w:vAlign w:val="center"/>
          </w:tcPr>
          <w:p>
            <w:pPr>
              <w:pStyle w:val="TableContents"/>
              <w:bidi w:val="0"/>
              <w:spacing w:before="0" w:after="0"/>
              <w:ind w:left="0" w:right="0" w:hanging="0"/>
              <w:jc w:val="left"/>
              <w:rPr/>
            </w:pPr>
            <w:r>
              <w:rPr/>
              <w:t> </w:t>
            </w:r>
          </w:p>
        </w:tc>
        <w:tc>
          <w:tcPr>
            <w:tcW w:w="9987" w:type="dxa"/>
            <w:tcBorders/>
            <w:vAlign w:val="center"/>
          </w:tcPr>
          <w:p>
            <w:pPr>
              <w:pStyle w:val="TableContents"/>
              <w:bidi w:val="0"/>
              <w:spacing w:before="0" w:after="0"/>
              <w:ind w:left="0" w:right="0" w:hanging="0"/>
              <w:jc w:val="left"/>
              <w:rPr/>
            </w:pPr>
            <w:r>
              <w:rPr/>
              <w:t> </w:t>
            </w:r>
          </w:p>
        </w:tc>
      </w:tr>
      <w:tr>
        <w:trPr/>
        <w:tc>
          <w:tcPr>
            <w:tcW w:w="218" w:type="dxa"/>
            <w:tcBorders/>
            <w:vAlign w:val="center"/>
          </w:tcPr>
          <w:p>
            <w:pPr>
              <w:pStyle w:val="TableContents"/>
              <w:bidi w:val="0"/>
              <w:spacing w:before="0" w:after="0"/>
              <w:ind w:left="0" w:right="0" w:hanging="0"/>
              <w:jc w:val="both"/>
              <w:rPr/>
            </w:pPr>
            <w:r>
              <w:rPr/>
              <w:t>•</w:t>
            </w:r>
          </w:p>
        </w:tc>
        <w:tc>
          <w:tcPr>
            <w:tcW w:w="9987" w:type="dxa"/>
            <w:tcBorders/>
            <w:vAlign w:val="center"/>
          </w:tcPr>
          <w:p>
            <w:pPr>
              <w:pStyle w:val="TableContents"/>
              <w:bidi w:val="0"/>
              <w:spacing w:before="0" w:after="0"/>
              <w:ind w:left="0" w:right="0" w:hanging="0"/>
              <w:jc w:val="both"/>
              <w:rPr/>
            </w:pPr>
            <w:r>
              <w:rPr>
                <w:rStyle w:val="StrongEmphasis"/>
                <w:rFonts w:ascii="times new roman" w:hAnsi="times new roman"/>
                <w:sz w:val="20"/>
              </w:rPr>
              <w:t>Grow production, cash flow and reserves by developing our operated drilling inventory and participating opportunistically in non-operated projects.</w:t>
            </w:r>
            <w:r>
              <w:rPr>
                <w:rFonts w:ascii="times new roman" w:hAnsi="times new roman"/>
                <w:sz w:val="20"/>
              </w:rPr>
              <w:t> We believe our extensive inventory of drilling locations in the D-J Basin, Powder River Basin, and Permian Basin, combined with our operating expertise, will enable us to continue to deliver accretive production, cash flow and reserves growth. We believe the location, concentration and scale of our core leasehold positions, coupled with our technical understanding of the reservoirs, will allow us to efficiently develop our core areas and to allocate capital to maximize the value of our resource base.</w:t>
            </w:r>
          </w:p>
        </w:tc>
      </w:tr>
      <w:tr>
        <w:trPr/>
        <w:tc>
          <w:tcPr>
            <w:tcW w:w="218" w:type="dxa"/>
            <w:tcBorders/>
            <w:vAlign w:val="center"/>
          </w:tcPr>
          <w:p>
            <w:pPr>
              <w:pStyle w:val="TableContents"/>
              <w:bidi w:val="0"/>
              <w:spacing w:before="0" w:after="0"/>
              <w:ind w:left="0" w:right="0" w:hanging="0"/>
              <w:jc w:val="both"/>
              <w:rPr/>
            </w:pPr>
            <w:r>
              <w:rPr/>
              <w:t> </w:t>
            </w:r>
          </w:p>
        </w:tc>
        <w:tc>
          <w:tcPr>
            <w:tcW w:w="9987" w:type="dxa"/>
            <w:tcBorders/>
            <w:vAlign w:val="center"/>
          </w:tcPr>
          <w:p>
            <w:pPr>
              <w:pStyle w:val="TableContents"/>
              <w:bidi w:val="0"/>
              <w:spacing w:before="0" w:after="0"/>
              <w:ind w:left="0" w:right="0" w:hanging="0"/>
              <w:jc w:val="both"/>
              <w:rPr/>
            </w:pPr>
            <w:r>
              <w:rPr/>
              <w:t> </w:t>
            </w:r>
          </w:p>
        </w:tc>
      </w:tr>
      <w:tr>
        <w:trPr/>
        <w:tc>
          <w:tcPr>
            <w:tcW w:w="218" w:type="dxa"/>
            <w:tcBorders/>
            <w:vAlign w:val="center"/>
          </w:tcPr>
          <w:p>
            <w:pPr>
              <w:pStyle w:val="TableContents"/>
              <w:bidi w:val="0"/>
              <w:spacing w:before="0" w:after="0"/>
              <w:ind w:left="0" w:right="0" w:hanging="0"/>
              <w:jc w:val="both"/>
              <w:rPr/>
            </w:pPr>
            <w:r>
              <w:rPr/>
              <w:t>•</w:t>
            </w:r>
          </w:p>
        </w:tc>
        <w:tc>
          <w:tcPr>
            <w:tcW w:w="9987" w:type="dxa"/>
            <w:tcBorders/>
            <w:vAlign w:val="center"/>
          </w:tcPr>
          <w:p>
            <w:pPr>
              <w:pStyle w:val="TableContents"/>
              <w:bidi w:val="0"/>
              <w:spacing w:before="0" w:after="0"/>
              <w:ind w:left="0" w:right="0" w:hanging="0"/>
              <w:jc w:val="both"/>
              <w:rPr/>
            </w:pPr>
            <w:r>
              <w:rPr>
                <w:rStyle w:val="StrongEmphasis"/>
                <w:rFonts w:ascii="times new roman" w:hAnsi="times new roman"/>
                <w:sz w:val="20"/>
              </w:rPr>
              <w:t>Apply modern drilling and completion techniques and technologies.</w:t>
            </w:r>
            <w:r>
              <w:rPr>
                <w:rFonts w:ascii="times new roman" w:hAnsi="times new roman"/>
                <w:sz w:val="20"/>
              </w:rPr>
              <w:t> We own and intend to acquire additional properties that have been historically underdeveloped and underexploited. We believe our attention to detail and application of the latest industry advances in horizontal drilling, completions design, frac intensity and locally optimal frac fluids will allow us to successfully develop our properties.</w:t>
            </w:r>
          </w:p>
        </w:tc>
      </w:tr>
      <w:tr>
        <w:trPr/>
        <w:tc>
          <w:tcPr>
            <w:tcW w:w="218" w:type="dxa"/>
            <w:tcBorders/>
            <w:vAlign w:val="center"/>
          </w:tcPr>
          <w:p>
            <w:pPr>
              <w:pStyle w:val="TableContents"/>
              <w:bidi w:val="0"/>
              <w:spacing w:before="0" w:after="0"/>
              <w:ind w:left="0" w:right="0" w:hanging="0"/>
              <w:jc w:val="both"/>
              <w:rPr/>
            </w:pPr>
            <w:r>
              <w:rPr/>
              <w:t> </w:t>
            </w:r>
          </w:p>
        </w:tc>
        <w:tc>
          <w:tcPr>
            <w:tcW w:w="9987" w:type="dxa"/>
            <w:tcBorders/>
            <w:vAlign w:val="center"/>
          </w:tcPr>
          <w:p>
            <w:pPr>
              <w:pStyle w:val="TableContents"/>
              <w:bidi w:val="0"/>
              <w:spacing w:before="0" w:after="0"/>
              <w:ind w:left="0" w:right="0" w:hanging="0"/>
              <w:jc w:val="both"/>
              <w:rPr/>
            </w:pPr>
            <w:r>
              <w:rPr/>
              <w:t> </w:t>
            </w:r>
          </w:p>
        </w:tc>
      </w:tr>
      <w:tr>
        <w:trPr/>
        <w:tc>
          <w:tcPr>
            <w:tcW w:w="218" w:type="dxa"/>
            <w:tcBorders/>
            <w:vAlign w:val="center"/>
          </w:tcPr>
          <w:p>
            <w:pPr>
              <w:pStyle w:val="TableContents"/>
              <w:bidi w:val="0"/>
              <w:spacing w:before="0" w:after="0"/>
              <w:ind w:left="0" w:right="0" w:hanging="0"/>
              <w:jc w:val="both"/>
              <w:rPr/>
            </w:pPr>
            <w:r>
              <w:rPr/>
              <w:t>•</w:t>
            </w:r>
          </w:p>
        </w:tc>
        <w:tc>
          <w:tcPr>
            <w:tcW w:w="9987" w:type="dxa"/>
            <w:tcBorders/>
            <w:vAlign w:val="center"/>
          </w:tcPr>
          <w:p>
            <w:pPr>
              <w:pStyle w:val="TableContents"/>
              <w:bidi w:val="0"/>
              <w:spacing w:before="0" w:after="0"/>
              <w:ind w:left="0" w:right="0" w:hanging="0"/>
              <w:jc w:val="both"/>
              <w:rPr/>
            </w:pPr>
            <w:r>
              <w:rPr>
                <w:rStyle w:val="StrongEmphasis"/>
                <w:rFonts w:ascii="times new roman" w:hAnsi="times new roman"/>
                <w:sz w:val="20"/>
              </w:rPr>
              <w:t>Optimization of development plans, well density and configuration.</w:t>
            </w:r>
            <w:r>
              <w:rPr>
                <w:rFonts w:ascii="times new roman" w:hAnsi="times new roman"/>
                <w:sz w:val="20"/>
              </w:rPr>
              <w:t> We own properties that are located in oil and gas producing basins that are geologically well defined, characterized by widespread vertical and horizontal development and geological well control. We utilize the extensive geological, petrophysical and production data of such properties to confirm optimal development plans, well spacing and configuration using modern reservoir evaluation methodologies.</w:t>
            </w:r>
          </w:p>
        </w:tc>
      </w:tr>
      <w:tr>
        <w:trPr/>
        <w:tc>
          <w:tcPr>
            <w:tcW w:w="218" w:type="dxa"/>
            <w:tcBorders/>
            <w:vAlign w:val="center"/>
          </w:tcPr>
          <w:p>
            <w:pPr>
              <w:pStyle w:val="TableContents"/>
              <w:bidi w:val="0"/>
              <w:spacing w:before="0" w:after="0"/>
              <w:ind w:left="0" w:right="0" w:hanging="0"/>
              <w:jc w:val="both"/>
              <w:rPr/>
            </w:pPr>
            <w:r>
              <w:rPr/>
              <w:t> </w:t>
            </w:r>
          </w:p>
        </w:tc>
        <w:tc>
          <w:tcPr>
            <w:tcW w:w="9987" w:type="dxa"/>
            <w:tcBorders/>
            <w:vAlign w:val="center"/>
          </w:tcPr>
          <w:p>
            <w:pPr>
              <w:pStyle w:val="TableContents"/>
              <w:bidi w:val="0"/>
              <w:spacing w:before="0" w:after="0"/>
              <w:ind w:left="0" w:right="0" w:hanging="0"/>
              <w:jc w:val="both"/>
              <w:rPr/>
            </w:pPr>
            <w:r>
              <w:rPr/>
              <w:t> </w:t>
            </w:r>
          </w:p>
        </w:tc>
      </w:tr>
      <w:tr>
        <w:trPr/>
        <w:tc>
          <w:tcPr>
            <w:tcW w:w="218" w:type="dxa"/>
            <w:tcBorders/>
            <w:vAlign w:val="center"/>
          </w:tcPr>
          <w:p>
            <w:pPr>
              <w:pStyle w:val="TableContents"/>
              <w:bidi w:val="0"/>
              <w:spacing w:before="0" w:after="0"/>
              <w:ind w:left="0" w:right="0" w:hanging="0"/>
              <w:jc w:val="both"/>
              <w:rPr/>
            </w:pPr>
            <w:r>
              <w:rPr/>
              <w:t>•</w:t>
            </w:r>
          </w:p>
        </w:tc>
        <w:tc>
          <w:tcPr>
            <w:tcW w:w="9987" w:type="dxa"/>
            <w:tcBorders/>
            <w:vAlign w:val="center"/>
          </w:tcPr>
          <w:p>
            <w:pPr>
              <w:pStyle w:val="TableContents"/>
              <w:bidi w:val="0"/>
              <w:spacing w:before="0" w:after="0"/>
              <w:ind w:left="0" w:right="0" w:hanging="0"/>
              <w:jc w:val="both"/>
              <w:rPr/>
            </w:pPr>
            <w:r>
              <w:rPr>
                <w:rStyle w:val="StrongEmphasis"/>
                <w:rFonts w:ascii="times new roman" w:hAnsi="times new roman"/>
                <w:sz w:val="20"/>
              </w:rPr>
              <w:t>Maintain a high degree of operational control and/or form partnerships which allow for a high degree of control over non-operated properties.</w:t>
            </w:r>
            <w:r>
              <w:rPr>
                <w:rFonts w:ascii="times new roman" w:hAnsi="times new roman"/>
                <w:sz w:val="20"/>
              </w:rPr>
              <w:t> We believe that by retaining operational control and/or by forming partnerships which require consent and input by all partners in major development projects, we can efficiently manage the timing and amount of our capital expenditures and operating costs, and thus key in on the optimal drilling and completions strategies, which we believe will generate higher recoveries and greater rates of return per well.</w:t>
            </w:r>
          </w:p>
        </w:tc>
      </w:tr>
      <w:tr>
        <w:trPr/>
        <w:tc>
          <w:tcPr>
            <w:tcW w:w="218" w:type="dxa"/>
            <w:tcBorders/>
            <w:vAlign w:val="center"/>
          </w:tcPr>
          <w:p>
            <w:pPr>
              <w:pStyle w:val="TableContents"/>
              <w:bidi w:val="0"/>
              <w:spacing w:before="0" w:after="0"/>
              <w:ind w:left="0" w:right="0" w:hanging="0"/>
              <w:jc w:val="both"/>
              <w:rPr/>
            </w:pPr>
            <w:r>
              <w:rPr/>
              <w:t> </w:t>
            </w:r>
          </w:p>
        </w:tc>
        <w:tc>
          <w:tcPr>
            <w:tcW w:w="9987" w:type="dxa"/>
            <w:tcBorders/>
            <w:vAlign w:val="center"/>
          </w:tcPr>
          <w:p>
            <w:pPr>
              <w:pStyle w:val="TableContents"/>
              <w:bidi w:val="0"/>
              <w:spacing w:before="0" w:after="0"/>
              <w:ind w:left="0" w:right="0" w:hanging="0"/>
              <w:jc w:val="both"/>
              <w:rPr/>
            </w:pPr>
            <w:r>
              <w:rPr/>
              <w:t> </w:t>
            </w:r>
          </w:p>
        </w:tc>
      </w:tr>
      <w:tr>
        <w:trPr/>
        <w:tc>
          <w:tcPr>
            <w:tcW w:w="218" w:type="dxa"/>
            <w:tcBorders/>
            <w:vAlign w:val="center"/>
          </w:tcPr>
          <w:p>
            <w:pPr>
              <w:pStyle w:val="TableContents"/>
              <w:bidi w:val="0"/>
              <w:spacing w:before="0" w:after="0"/>
              <w:ind w:left="0" w:right="0" w:hanging="0"/>
              <w:jc w:val="both"/>
              <w:rPr/>
            </w:pPr>
            <w:r>
              <w:rPr/>
              <w:t>•</w:t>
            </w:r>
          </w:p>
        </w:tc>
        <w:tc>
          <w:tcPr>
            <w:tcW w:w="9987" w:type="dxa"/>
            <w:tcBorders/>
            <w:vAlign w:val="center"/>
          </w:tcPr>
          <w:p>
            <w:pPr>
              <w:pStyle w:val="TableContents"/>
              <w:bidi w:val="0"/>
              <w:spacing w:before="0" w:after="0"/>
              <w:ind w:left="0" w:right="0" w:hanging="0"/>
              <w:jc w:val="both"/>
              <w:rPr/>
            </w:pPr>
            <w:r>
              <w:rPr>
                <w:rStyle w:val="StrongEmphasis"/>
                <w:rFonts w:ascii="times new roman" w:hAnsi="times new roman"/>
                <w:sz w:val="20"/>
              </w:rPr>
              <w:t>Leverage extensive deal flow, technical and operational experience to evaluate and execute accretive acquisition opportunities.</w:t>
            </w:r>
            <w:r>
              <w:rPr>
                <w:rFonts w:ascii="times new roman" w:hAnsi="times new roman"/>
                <w:sz w:val="20"/>
              </w:rPr>
              <w:t> Our management and technical teams have an extensive track record of forming, buying, building and selling oil and gas businesses. We also have significant expertise in successfully sourcing, evaluating and executing acquisition opportunities. We believe our understanding of the business, financial, geology, geophysics and reservoir properties of potential acquisition targets will allow us to identify and acquire highly prospective acquisitions and leasing opportunities in order to grow our reserve base and maximize stockholder value.</w:t>
            </w:r>
          </w:p>
        </w:tc>
      </w:tr>
      <w:tr>
        <w:trPr/>
        <w:tc>
          <w:tcPr>
            <w:tcW w:w="218" w:type="dxa"/>
            <w:tcBorders/>
            <w:vAlign w:val="center"/>
          </w:tcPr>
          <w:p>
            <w:pPr>
              <w:pStyle w:val="TableContents"/>
              <w:bidi w:val="0"/>
              <w:spacing w:before="0" w:after="0"/>
              <w:ind w:left="0" w:right="0" w:hanging="0"/>
              <w:jc w:val="both"/>
              <w:rPr/>
            </w:pPr>
            <w:r>
              <w:rPr/>
              <w:t> </w:t>
            </w:r>
          </w:p>
        </w:tc>
        <w:tc>
          <w:tcPr>
            <w:tcW w:w="9987" w:type="dxa"/>
            <w:tcBorders/>
            <w:vAlign w:val="center"/>
          </w:tcPr>
          <w:p>
            <w:pPr>
              <w:pStyle w:val="TableContents"/>
              <w:bidi w:val="0"/>
              <w:spacing w:before="0" w:after="0"/>
              <w:ind w:left="0" w:right="0" w:hanging="0"/>
              <w:jc w:val="both"/>
              <w:rPr/>
            </w:pPr>
            <w:r>
              <w:rPr/>
              <w:t> </w:t>
            </w:r>
          </w:p>
        </w:tc>
      </w:tr>
      <w:tr>
        <w:trPr/>
        <w:tc>
          <w:tcPr>
            <w:tcW w:w="218" w:type="dxa"/>
            <w:tcBorders/>
            <w:vAlign w:val="center"/>
          </w:tcPr>
          <w:p>
            <w:pPr>
              <w:pStyle w:val="TableContents"/>
              <w:bidi w:val="0"/>
              <w:spacing w:before="0" w:after="0"/>
              <w:ind w:left="0" w:right="0" w:hanging="0"/>
              <w:jc w:val="both"/>
              <w:rPr/>
            </w:pPr>
            <w:r>
              <w:rPr/>
              <w:t>•</w:t>
            </w:r>
          </w:p>
        </w:tc>
        <w:tc>
          <w:tcPr>
            <w:tcW w:w="9987" w:type="dxa"/>
            <w:tcBorders/>
            <w:vAlign w:val="center"/>
          </w:tcPr>
          <w:p>
            <w:pPr>
              <w:pStyle w:val="TableContents"/>
              <w:bidi w:val="0"/>
              <w:spacing w:before="0" w:after="0"/>
              <w:ind w:left="0" w:right="0" w:hanging="0"/>
              <w:jc w:val="both"/>
              <w:rPr/>
            </w:pPr>
            <w:r>
              <w:rPr>
                <w:rStyle w:val="StrongEmphasis"/>
                <w:rFonts w:ascii="times new roman" w:hAnsi="times new roman"/>
                <w:sz w:val="20"/>
              </w:rPr>
              <w:t>Preserve financial flexibility to pursue organic and external growth opportunities.</w:t>
            </w:r>
            <w:r>
              <w:rPr>
                <w:rFonts w:ascii="times new roman" w:hAnsi="times new roman"/>
                <w:sz w:val="20"/>
              </w:rPr>
              <w:t> We intend to maintain a disciplined financial profile in order to provide flexibility across various commodity and market cycles.</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firstLine="675"/>
              <w:jc w:val="both"/>
              <w:rPr>
                <w:rFonts w:ascii="times new roman" w:hAnsi="times new roman"/>
                <w:sz w:val="20"/>
              </w:rPr>
            </w:pPr>
            <w:r>
              <w:rPr>
                <w:rFonts w:ascii="times new roman" w:hAnsi="times new roman"/>
                <w:sz w:val="20"/>
              </w:rPr>
              <w:t xml:space="preserve">Our strategy is to be the operator and/or a significant working interest owner, directly or through our subsidiaries and joint ventures, in the majority of our acreage so we can dictate the pace of development in order to execute our business plan. In areas we deem highly economic and do not have a high enough working interest to serve as operator, we seek to participate in projects if returns match or exceed other projects in our portfolio. Due to the fragmented nature of acreage positions in some of our holdings, our ownership interest does not always allow us to serve as the operator. </w:t>
            </w:r>
          </w:p>
          <w:p>
            <w:pPr>
              <w:pStyle w:val="TableContents"/>
              <w:bidi w:val="0"/>
              <w:spacing w:before="0" w:after="0"/>
              <w:ind w:left="0" w:right="0" w:firstLine="675"/>
              <w:jc w:val="both"/>
              <w:rPr/>
            </w:pPr>
            <w:r>
              <w:rPr/>
              <w:t> </w:t>
            </w:r>
          </w:p>
          <w:p>
            <w:pPr>
              <w:pStyle w:val="TableContents"/>
              <w:bidi w:val="0"/>
              <w:spacing w:before="0" w:after="0"/>
              <w:ind w:left="0" w:right="0" w:hanging="0"/>
              <w:jc w:val="both"/>
              <w:rPr/>
            </w:pPr>
            <w:r>
              <w:rPr>
                <w:rStyle w:val="StrongEmphasis"/>
                <w:rFonts w:ascii="times new roman" w:hAnsi="times new roman"/>
                <w:sz w:val="20"/>
              </w:rPr>
              <w:t>Merger Agreement</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October 31, 2025 (the “</w:t>
            </w:r>
            <w:r>
              <w:rPr>
                <w:rFonts w:ascii="times new roman" w:hAnsi="times new roman"/>
                <w:sz w:val="20"/>
                <w:u w:val="single"/>
              </w:rPr>
              <w:t>Closing</w:t>
            </w:r>
            <w:r>
              <w:rPr>
                <w:rFonts w:ascii="times new roman" w:hAnsi="times new roman"/>
                <w:sz w:val="20"/>
              </w:rPr>
              <w:t>”), we entered into an Agreement and Plan of Merger (the “</w:t>
            </w:r>
            <w:r>
              <w:rPr>
                <w:rFonts w:ascii="times new roman" w:hAnsi="times new roman"/>
                <w:sz w:val="20"/>
                <w:u w:val="single"/>
              </w:rPr>
              <w:t>Merger Agreement</w:t>
            </w:r>
            <w:r>
              <w:rPr>
                <w:rFonts w:ascii="times new roman" w:hAnsi="times new roman"/>
                <w:sz w:val="20"/>
              </w:rPr>
              <w:t>”), between the Company, NP Merger Sub, LLC, a Delaware limited liability company and wholly-owned subsidiary of the Company (“</w:t>
            </w:r>
            <w:r>
              <w:rPr>
                <w:rFonts w:ascii="times new roman" w:hAnsi="times new roman"/>
                <w:sz w:val="20"/>
                <w:u w:val="single"/>
              </w:rPr>
              <w:t>First Merger Sub</w:t>
            </w:r>
            <w:r>
              <w:rPr>
                <w:rFonts w:ascii="times new roman" w:hAnsi="times new roman"/>
                <w:sz w:val="20"/>
              </w:rPr>
              <w:t>”), COG Merger Sub, LLC, a Delaware limited liability company and wholly-owned subsidiary of the Company (“</w:t>
            </w:r>
            <w:r>
              <w:rPr>
                <w:rFonts w:ascii="times new roman" w:hAnsi="times new roman"/>
                <w:sz w:val="20"/>
                <w:u w:val="single"/>
              </w:rPr>
              <w:t>Second Merger Sub</w:t>
            </w:r>
            <w:r>
              <w:rPr>
                <w:rFonts w:ascii="times new roman" w:hAnsi="times new roman"/>
                <w:sz w:val="20"/>
              </w:rPr>
              <w:t>,” and together with First Merger Sub, the “</w:t>
            </w:r>
            <w:r>
              <w:rPr>
                <w:rFonts w:ascii="times new roman" w:hAnsi="times new roman"/>
                <w:sz w:val="20"/>
                <w:u w:val="single"/>
              </w:rPr>
              <w:t>Merger Subs</w:t>
            </w:r>
            <w:r>
              <w:rPr>
                <w:rFonts w:ascii="times new roman" w:hAnsi="times new roman"/>
                <w:sz w:val="20"/>
              </w:rPr>
              <w:t>”), North Peak Oil &amp; Gas, LLC, a Delaware limited liability company (“</w:t>
            </w:r>
            <w:r>
              <w:rPr>
                <w:rFonts w:ascii="times new roman" w:hAnsi="times new roman"/>
                <w:sz w:val="20"/>
                <w:u w:val="single"/>
              </w:rPr>
              <w:t>NPOG</w:t>
            </w:r>
            <w:r>
              <w:rPr>
                <w:rFonts w:ascii="times new roman" w:hAnsi="times new roman"/>
                <w:sz w:val="20"/>
              </w:rPr>
              <w:t>”), Century Oil and Gas Sub-Holdings, LLC, a Delaware limited liability company (“</w:t>
            </w:r>
            <w:r>
              <w:rPr>
                <w:rFonts w:ascii="times new roman" w:hAnsi="times new roman"/>
                <w:sz w:val="20"/>
                <w:u w:val="single"/>
              </w:rPr>
              <w:t>COG</w:t>
            </w:r>
            <w:r>
              <w:rPr>
                <w:rFonts w:ascii="times new roman" w:hAnsi="times new roman"/>
                <w:sz w:val="20"/>
              </w:rPr>
              <w:t>,” and together with NPOG, the “</w:t>
            </w:r>
            <w:r>
              <w:rPr>
                <w:rFonts w:ascii="times new roman" w:hAnsi="times new roman"/>
                <w:sz w:val="20"/>
                <w:u w:val="single"/>
              </w:rPr>
              <w:t>Acquired Companies</w:t>
            </w:r>
            <w:r>
              <w:rPr>
                <w:rFonts w:ascii="times new roman" w:hAnsi="times new roman"/>
                <w:sz w:val="20"/>
              </w:rPr>
              <w:t>”), and, solely for purposes of the specified provisions therein, North Peak Oil &amp; Gas Holdings, LLC, a Delaware limited partnership (“</w:t>
            </w:r>
            <w:r>
              <w:rPr>
                <w:rFonts w:ascii="times new roman" w:hAnsi="times new roman"/>
                <w:sz w:val="20"/>
                <w:u w:val="single"/>
              </w:rPr>
              <w:t>North Peak</w:t>
            </w:r>
            <w:r>
              <w:rPr>
                <w:rFonts w:ascii="times new roman" w:hAnsi="times new roman"/>
                <w:sz w:val="20"/>
              </w:rPr>
              <w:t>”).</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Pursuant to the Merger Agreement, (a) First Merger Sub merged with and into NPOG, with NPOG being the surviving entity and a wholly owned subsidiary of the Company, and (b) Second Merger Sub merged with and into COG, with COG being the surviving entity and a wholly owned subsidiary of the Company (the “</w:t>
            </w:r>
            <w:r>
              <w:rPr>
                <w:rFonts w:ascii="times new roman" w:hAnsi="times new roman"/>
                <w:sz w:val="20"/>
                <w:u w:val="single"/>
              </w:rPr>
              <w:t>Mergers</w:t>
            </w:r>
            <w:r>
              <w:rPr>
                <w:rFonts w:ascii="times new roman" w:hAnsi="times new roman"/>
                <w:sz w:val="20"/>
              </w:rPr>
              <w:t>”).</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Subject to the terms and conditions of the Merger Agreement, all of the issued and outstanding limited liability company interests of each of NPOG and COG were automatically converted into the right to receive an aggregate of 10,650,000 validly issued, fully paid and nonassessable shares of then newly designated Series A Convertible Preferred Stock of the Company (the “</w:t>
            </w:r>
            <w:r>
              <w:rPr>
                <w:rFonts w:ascii="times new roman" w:hAnsi="times new roman"/>
                <w:sz w:val="20"/>
                <w:u w:val="single"/>
              </w:rPr>
              <w:t>Merger Preferred Shares</w:t>
            </w:r>
            <w:r>
              <w:rPr>
                <w:rFonts w:ascii="times new roman" w:hAnsi="times new roman"/>
                <w:sz w:val="20"/>
              </w:rPr>
              <w:t>”), par value $0.001 per share (the “</w:t>
            </w:r>
            <w:r>
              <w:rPr>
                <w:rFonts w:ascii="times new roman" w:hAnsi="times new roman"/>
                <w:sz w:val="20"/>
                <w:u w:val="single"/>
              </w:rPr>
              <w:t>Series A Preferred Stock</w:t>
            </w:r>
            <w:r>
              <w:rPr>
                <w:rFonts w:ascii="times new roman" w:hAnsi="times new roman"/>
                <w:sz w:val="20"/>
              </w:rPr>
              <w:t>”), which shares were issued to Century Oil and Gas Holdings, LLC, a Delaware limited liability company (“</w:t>
            </w:r>
            <w:r>
              <w:rPr>
                <w:rFonts w:ascii="times new roman" w:hAnsi="times new roman"/>
                <w:sz w:val="20"/>
                <w:u w:val="single"/>
              </w:rPr>
              <w:t>Century</w:t>
            </w:r>
            <w:r>
              <w:rPr>
                <w:rFonts w:ascii="times new roman" w:hAnsi="times new roman"/>
                <w:sz w:val="20"/>
              </w:rPr>
              <w:t>”) and North Peak. The Series A Preferred Stock automatically converted into shares of common stock of the Company, par value $0.001 per share (the “</w:t>
            </w:r>
            <w:r>
              <w:rPr>
                <w:rFonts w:ascii="times new roman" w:hAnsi="times new roman"/>
                <w:sz w:val="20"/>
                <w:u w:val="single"/>
              </w:rPr>
              <w:t>Automatic Conversion</w:t>
            </w:r>
            <w:r>
              <w:rPr>
                <w:rFonts w:ascii="times new roman" w:hAnsi="times new roman"/>
                <w:sz w:val="20"/>
              </w:rPr>
              <w:t>”), at a ratio of 0.5-to-1, effective February 27, 2026, following the expiration of the twenty calendar day period commencing on the distribution of an information statement to the Company’s shareholders in accordance with Rule 14c-2 of Regulation 14C promulgated under the Exchange Act (the “</w:t>
            </w:r>
            <w:r>
              <w:rPr>
                <w:rFonts w:ascii="times new roman" w:hAnsi="times new roman"/>
                <w:sz w:val="20"/>
                <w:u w:val="single"/>
              </w:rPr>
              <w:t>Automatic Conversion Date</w:t>
            </w:r>
            <w:r>
              <w:rPr>
                <w:rFonts w:ascii="times new roman" w:hAnsi="times new roman"/>
                <w:sz w:val="20"/>
              </w:rPr>
              <w:t>”). On the Automatic Conversion Date, the Merger Preferred Shares converted into an aggregate of 5,325,000 shares of Company common stock.</w:t>
            </w:r>
          </w:p>
        </w:tc>
      </w:tr>
    </w:tbl>
    <w:p>
      <w:pPr>
        <w:pStyle w:val="TextBody"/>
        <w:bidi w:val="0"/>
        <w:spacing w:before="0" w:after="0"/>
        <w:ind w:left="0" w:right="0" w:firstLine="675"/>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both"/>
              <w:rPr/>
            </w:pPr>
            <w:r>
              <w:rPr>
                <w:rStyle w:val="StrongEmphasis"/>
                <w:rFonts w:ascii="times new roman" w:hAnsi="times new roman"/>
                <w:sz w:val="20"/>
              </w:rPr>
              <w:t>PIPE Offering</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Concurrently with the Closing of the Mergers, effective on October 31, 2025, certain investors (the “</w:t>
            </w:r>
            <w:r>
              <w:rPr>
                <w:rFonts w:ascii="times new roman" w:hAnsi="times new roman"/>
                <w:sz w:val="20"/>
                <w:u w:val="single"/>
              </w:rPr>
              <w:t>PIPE Investors</w:t>
            </w:r>
            <w:r>
              <w:rPr>
                <w:rFonts w:ascii="times new roman" w:hAnsi="times new roman"/>
                <w:sz w:val="20"/>
              </w:rPr>
              <w:t>”) subscribed for and purchased an aggregate of 6,363,637 shares of Series A Preferred Stock (the “</w:t>
            </w:r>
            <w:r>
              <w:rPr>
                <w:rFonts w:ascii="times new roman" w:hAnsi="times new roman"/>
                <w:sz w:val="20"/>
                <w:u w:val="single"/>
              </w:rPr>
              <w:t>PIPE Preferred Shares</w:t>
            </w:r>
            <w:r>
              <w:rPr>
                <w:rFonts w:ascii="times new roman" w:hAnsi="times new roman"/>
                <w:sz w:val="20"/>
              </w:rPr>
              <w:t>”), at a price per share equal to $5.50 per share of Series A Preferred Stock (the “</w:t>
            </w:r>
            <w:r>
              <w:rPr>
                <w:rFonts w:ascii="times new roman" w:hAnsi="times new roman"/>
                <w:sz w:val="20"/>
                <w:u w:val="single"/>
              </w:rPr>
              <w:t>Purchase Price</w:t>
            </w:r>
            <w:r>
              <w:rPr>
                <w:rFonts w:ascii="times new roman" w:hAnsi="times new roman"/>
                <w:sz w:val="20"/>
              </w:rPr>
              <w:t>”), pursuant to their entry into Series A Convertible Preferred Stock Subscription Agreements in favor of the Company (the “</w:t>
            </w:r>
            <w:r>
              <w:rPr>
                <w:rFonts w:ascii="times new roman" w:hAnsi="times new roman"/>
                <w:sz w:val="20"/>
                <w:u w:val="single"/>
              </w:rPr>
              <w:t>Subscription Agreements</w:t>
            </w:r>
            <w:r>
              <w:rPr>
                <w:rFonts w:ascii="times new roman" w:hAnsi="times new roman"/>
                <w:sz w:val="20"/>
              </w:rPr>
              <w:t>” and the “</w:t>
            </w:r>
            <w:r>
              <w:rPr>
                <w:rFonts w:ascii="times new roman" w:hAnsi="times new roman"/>
                <w:sz w:val="20"/>
                <w:u w:val="single"/>
              </w:rPr>
              <w:t>PIPE Offering</w:t>
            </w:r>
            <w:r>
              <w:rPr>
                <w:rFonts w:ascii="times new roman" w:hAnsi="times new roman"/>
                <w:sz w:val="20"/>
              </w:rPr>
              <w:t>”). On the Automatic Conversion Date, the PIPE Preferred Shares converted into 3,181,818 shares of Company common stock (the “</w:t>
            </w:r>
            <w:r>
              <w:rPr>
                <w:rFonts w:ascii="times new roman" w:hAnsi="times new roman"/>
                <w:sz w:val="20"/>
                <w:u w:val="single"/>
              </w:rPr>
              <w:t>PIPE Conversion Shares</w:t>
            </w:r>
            <w:r>
              <w:rPr>
                <w:rFonts w:ascii="times new roman" w:hAnsi="times new roman"/>
                <w:sz w:val="20"/>
              </w:rPr>
              <w:t>”).</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PIPE Investors included (a) The SGK 2018 Revocable Trust, a family trust of which Dr. Simon Kukes, the then Executive Chairman of the Company is trustee and beneficiary ($15,409,977); (b) American Resources, Inc., an entity owned and controlled by J. Douglas Schick, the Chief Executive Officer, President and member of the Board ($250,003); (c) Clark R. Moore, the Executive Vice President, General Counsel and Secretary of the Company ($25,003); (d) John J. Scelfo Revocable Trust Dated October 8, 2003, a trust of which John J. Scelfo, a then member of the Board, is trustee and beneficiary ($550,000); (e) Jody D. Crook, the Chief Commercial Officer of the Company ($25,003); (f) J PED, LLC, an entity affiliated with Juniper Capital Advisors, L.P. (“</w:t>
            </w:r>
            <w:r>
              <w:rPr>
                <w:rFonts w:ascii="times new roman" w:hAnsi="times new roman"/>
                <w:sz w:val="20"/>
                <w:u w:val="single"/>
              </w:rPr>
              <w:t>Juniper</w:t>
            </w:r>
            <w:r>
              <w:rPr>
                <w:rFonts w:ascii="times new roman" w:hAnsi="times new roman"/>
                <w:sz w:val="20"/>
              </w:rPr>
              <w:t>”) ($18,550,004); (g) Reagan T. Dukes, the then Chief Executive Officer of the Acquired Companies, who was appointed Chief Operating Officer of the Company at the Closing of the Mergers ($52,503) and (h) Robert J. Long, the then Chief Financial Officer of the Acquired Companies, who was appointed Chief Financial Officer, Treasurer and Principal Accounting/Financial Officer of the Company at the Closing of the Mergers ($52,503). The PIPE Financing closed concurrently with the Mergers and the $35,000,004 of net proceeds raised by the Company pursuant to the PIPE Financing was used to pay off certain liabilities of the Acquired Companies in connection with the Mergers and certain expenses of the PIPE Financing and Mergers.</w:t>
            </w:r>
          </w:p>
          <w:p>
            <w:pPr>
              <w:pStyle w:val="TableContents"/>
              <w:bidi w:val="0"/>
              <w:spacing w:before="0" w:after="0"/>
              <w:ind w:left="0" w:right="0" w:firstLine="675"/>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 xml:space="preserve">The Subscription Agreements also provided that each PIPE Investor would have the same registration rights as were set forth in the Shareholder Agreement, discussed below. </w:t>
            </w:r>
          </w:p>
          <w:p>
            <w:pPr>
              <w:pStyle w:val="TableContents"/>
              <w:bidi w:val="0"/>
              <w:spacing w:before="0" w:after="0"/>
              <w:ind w:left="0" w:right="0" w:firstLine="675"/>
              <w:jc w:val="both"/>
              <w:rPr/>
            </w:pPr>
            <w:r>
              <w:rPr/>
              <w:t> </w:t>
            </w:r>
          </w:p>
          <w:p>
            <w:pPr>
              <w:pStyle w:val="TableContents"/>
              <w:bidi w:val="0"/>
              <w:spacing w:before="0" w:after="0"/>
              <w:ind w:left="0" w:right="0" w:hanging="0"/>
              <w:jc w:val="both"/>
              <w:rPr/>
            </w:pPr>
            <w:r>
              <w:rPr>
                <w:rStyle w:val="StrongEmphasis"/>
                <w:rFonts w:ascii="times new roman" w:hAnsi="times new roman"/>
                <w:sz w:val="20"/>
              </w:rPr>
              <w:t>Second Amended and Restated Designation of Series A Convertible Preferred Stock</w:t>
            </w:r>
          </w:p>
          <w:p>
            <w:pPr>
              <w:pStyle w:val="TableContents"/>
              <w:bidi w:val="0"/>
              <w:spacing w:before="0" w:after="0"/>
              <w:ind w:left="0" w:right="0" w:firstLine="675"/>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In preparation for the Closing of the Mergers, the Board of Directors approved the Second Amended and Restated Certificate of Designations establishing the rights, preferences, and limitations of the Company’s Series A Convertible Preferred Stock on October 29, 2025, which was filed with the Texas Secretary of State on October 31, 2025. A total of 17,013,637 shares of Series A Preferred Stock were designated. Except as required by law or the designation, Series A Preferred Stockholders had no voting rights, except the right to elect one director (the “</w:t>
            </w:r>
            <w:r>
              <w:rPr>
                <w:rFonts w:ascii="times new roman" w:hAnsi="times new roman"/>
                <w:sz w:val="20"/>
                <w:u w:val="single"/>
              </w:rPr>
              <w:t>Series A Director</w:t>
            </w:r>
            <w:r>
              <w:rPr>
                <w:rFonts w:ascii="times new roman" w:hAnsi="times new roman"/>
                <w:sz w:val="20"/>
              </w:rPr>
              <w:t>”) until the Automatic Conversion Date, with Josh Schmidt serving as such director.</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Holders of Series A Preferred Stock were entitled to certain protective provisions, requiring approval by a majority in interest of outstanding shares for actions such as amending governing documents, changing board composition, issuing new securities, major acquisitions or disposals, indebtedness above $500,000, executive appointments, and other material corporate actions. The holders of Series A Preferred Stock were provided no dividend rights, and in the event of liquidation, dissolution, or winding-up, Series A holders were to receive distributions pari passu with common shareholders, as if their shares were converted to common stock. All of the 17,013,637 then outstanding shares of Series A Preferred Stock converted on the Automatic Conversion Date, into an aggregate of 8,506,818 shares of the Company common stock (the “</w:t>
            </w:r>
            <w:r>
              <w:rPr>
                <w:rFonts w:ascii="times new roman" w:hAnsi="times new roman"/>
                <w:sz w:val="20"/>
                <w:u w:val="single"/>
              </w:rPr>
              <w:t>Conversion Shares</w:t>
            </w:r>
            <w:r>
              <w:rPr>
                <w:rFonts w:ascii="times new roman" w:hAnsi="times new roman"/>
                <w:sz w:val="20"/>
              </w:rPr>
              <w:t>”) in a ratio of 0.5-for-1.</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Additionally, on February 27, 2026, the Company, after approval of the Board of Directors and the stockholders, filed a Second Amended and Restated Certificate of Formation of the Company, which among other things, terminated the designation of the Series A Preferred Stock. As such, as of the date of this prospectus, we have no Series A Preferred Stock outstanding or designated.</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rStyle w:val="StrongEmphasis"/>
                <w:rFonts w:ascii="times new roman" w:hAnsi="times new roman"/>
                <w:sz w:val="20"/>
              </w:rPr>
              <w:t>Shareholder Agreement</w:t>
            </w:r>
          </w:p>
          <w:p>
            <w:pPr>
              <w:pStyle w:val="TableContents"/>
              <w:bidi w:val="0"/>
              <w:spacing w:before="0" w:after="0"/>
              <w:ind w:left="0" w:right="0" w:firstLine="675"/>
              <w:jc w:val="both"/>
              <w:rPr/>
            </w:pPr>
            <w:r>
              <w:rPr/>
              <w:t> </w:t>
            </w:r>
          </w:p>
          <w:p>
            <w:pPr>
              <w:pStyle w:val="TableContents"/>
              <w:bidi w:val="0"/>
              <w:spacing w:before="0" w:after="0"/>
              <w:ind w:left="0" w:right="0" w:firstLine="675"/>
              <w:jc w:val="both"/>
              <w:rPr/>
            </w:pPr>
            <w:r>
              <w:rPr>
                <w:rFonts w:ascii="times new roman" w:hAnsi="times new roman"/>
                <w:sz w:val="20"/>
              </w:rPr>
              <w:t>At the closing of the Mergers, effective on October 31, 2025, the Company entered into a Shareholder Agreement with Century and North Peak (together, the “</w:t>
            </w:r>
            <w:r>
              <w:rPr>
                <w:rFonts w:ascii="times new roman" w:hAnsi="times new roman"/>
                <w:sz w:val="20"/>
                <w:u w:val="single"/>
              </w:rPr>
              <w:t>Juniper Shareholder</w:t>
            </w:r>
            <w:r>
              <w:rPr>
                <w:rFonts w:ascii="times new roman" w:hAnsi="times new roman"/>
                <w:sz w:val="20"/>
              </w:rPr>
              <w:t>”), and, for certain limited provisions, Dr. Simon G. Kukes, the then Executive Chairman of the Company and The SGK 2018 Revocable Trust (a trust which Dr. Kukes serves as trustee and beneficiary of). The agreement granted the Juniper Shareholder board nomination rights from the closing of the Mergers until the Automatic Conversion Date, including the ability to designate one board nominee and one non-voting observer. The agreement also provides for certain board appointment and other rights of the Juniper Shareholder following the Automatic Conversion Date. The Shareholder Agreement is discussed in greater detail below under “</w:t>
            </w:r>
            <w:r>
              <w:rPr>
                <w:rStyle w:val="Emphasis"/>
                <w:rFonts w:ascii="times new roman" w:hAnsi="times new roman"/>
                <w:sz w:val="20"/>
                <w:u w:val="single"/>
              </w:rPr>
              <w:t>Description of Capital Stock—Shareholder Agreement</w:t>
            </w:r>
            <w:r>
              <w:rPr>
                <w:rFonts w:ascii="times new roman" w:hAnsi="times new roman"/>
                <w:sz w:val="20"/>
              </w:rPr>
              <w:t>”.</w:t>
            </w:r>
          </w:p>
          <w:p>
            <w:pPr>
              <w:pStyle w:val="TableContents"/>
              <w:bidi w:val="0"/>
              <w:spacing w:before="0" w:after="0"/>
              <w:ind w:left="0" w:right="0" w:firstLine="675"/>
              <w:jc w:val="both"/>
              <w:rPr/>
            </w:pPr>
            <w:r>
              <w:rPr/>
              <w:t> </w:t>
            </w:r>
          </w:p>
          <w:p>
            <w:pPr>
              <w:pStyle w:val="TableContents"/>
              <w:bidi w:val="0"/>
              <w:spacing w:before="0" w:after="0"/>
              <w:ind w:left="0" w:right="0" w:hanging="0"/>
              <w:jc w:val="both"/>
              <w:rPr/>
            </w:pPr>
            <w:r>
              <w:rPr>
                <w:rStyle w:val="StrongEmphasis"/>
                <w:rFonts w:ascii="times new roman" w:hAnsi="times new roman"/>
                <w:sz w:val="20"/>
              </w:rPr>
              <w:t>Registration Rights</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Pursuant to the Shareholder Agreement, the Company agreed to use its commercially reasonable efforts to file a registration statement with the SEC within 45 days after the Automatic Conversion Date (i.e., before April 13, 2026), to cover the resale of all Conversion Shares and certain other shares of Company common stock beneficially owned by the shareholders party thereto and their affiliates, and to keep such registration continuously effective, including renewals and amendments, until the securities are no longer registrable and to permit resale pursuant to Rule 415 of the Securities Act. Additionally, each shareholder party thereto, its affiliates, and certain other related persons, may also request underwritten offerings of at least $10 million of registrable securities, with underwriters selected by the Company subject to majority holder consent of the holders of the registrable securities to be included in such registration statement. Holders participating in an underwritten offering must enter into customary agreements but are not required to make extensive representations beyond ownership, authority, and compliance with securities laws. The Company is not required to conduct more than three underwritten offerings in a 12-month period or within 180 days of a prior offering. The Company may also delay or suspend the filing, effectiveness, or use of a registration statement during limited “</w:t>
            </w:r>
            <w:r>
              <w:rPr>
                <w:rFonts w:ascii="times new roman" w:hAnsi="times new roman"/>
                <w:sz w:val="20"/>
                <w:u w:val="single"/>
              </w:rPr>
              <w:t>grace periods</w:t>
            </w:r>
            <w:r>
              <w:rPr>
                <w:rFonts w:ascii="times new roman" w:hAnsi="times new roman"/>
                <w:sz w:val="20"/>
              </w:rPr>
              <w:t>” if necessary, due to pending financings, transactions, possession of material non-public information, or compliance concerns, provided that such periods do not exceed 45 days individually, 60 days in total during any 12-month period and that there are not more than two grace periods every 12 months. The Shareholder Agreement also provided each shareholder party thereto, piggyback registration rights, allowing them to participate in underwritten offerings of Company common stock conducted by the Company or other holders. Inclusion is subject to underwriter approval, and if the underwriter advises the Company that the total amount of securities would adversely affect the success of the offering, priority will be given first to the Company’s securities in a primary offering, or to the holders’ securities in a secondary offering, with any remaining capacity allocated on a pro rata basis.</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Shareholder Agreement also provides that the Company will pay certain expenses relating to such registrations and indemnify the registration rights holders against certain liabilities which may arise under the Securities Act, together with the rules and regulations promulgated thereunder.</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Shareholder Agreement became effective at the Closing and will terminate in accordance with its terms.</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As discussed above, each PIPE Investor was provided the same registration rights as the Juniper Shareholder and Mr. Kukes pursuant to the Shareholder Agreement.</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registration statement of which this prospectus forms a part is the initial registration statement required to be filed pursuant to the Shareholder Agreement. Although the registration statement was not filed within 45 days of the Automatic Conversion Date, the Shareholder Agreement did not include any damage provisions for such failure.</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rStyle w:val="Emphasis"/>
                <w:rFonts w:ascii="times new roman" w:hAnsi="times new roman"/>
                <w:sz w:val="20"/>
              </w:rPr>
              <w:t>Dr. Simon Kukes 2018/2019 Funding Transactions</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June 26, 2018, the Company borrowed $7.7 million from SK Energy LLC (“</w:t>
            </w:r>
            <w:r>
              <w:rPr>
                <w:rFonts w:ascii="times new roman" w:hAnsi="times new roman"/>
                <w:sz w:val="20"/>
                <w:u w:val="single"/>
              </w:rPr>
              <w:t>SK Energy</w:t>
            </w:r>
            <w:r>
              <w:rPr>
                <w:rFonts w:ascii="times new roman" w:hAnsi="times new roman"/>
                <w:sz w:val="20"/>
              </w:rPr>
              <w:t>”), which entity was owned and controlled by Dr. Simon Kukes, which amount was evidenced by a Promissory Note dated June 25, 2018, in the amount of $7.7 million (the “</w:t>
            </w:r>
            <w:r>
              <w:rPr>
                <w:rFonts w:ascii="times new roman" w:hAnsi="times new roman"/>
                <w:sz w:val="20"/>
                <w:u w:val="single"/>
              </w:rPr>
              <w:t>June 2018 Note</w:t>
            </w:r>
            <w:r>
              <w:rPr>
                <w:rFonts w:ascii="times new roman" w:hAnsi="times new roman"/>
                <w:sz w:val="20"/>
              </w:rPr>
              <w:t>”).</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As part of the same transactions and as required conditions to closing the sale of the June 2018 Note, SK Energy entered into a Stock Purchase Agreement with Golden Globe Energy (US), LLC (“</w:t>
            </w:r>
            <w:r>
              <w:rPr>
                <w:rFonts w:ascii="times new roman" w:hAnsi="times new roman"/>
                <w:sz w:val="20"/>
                <w:u w:val="single"/>
              </w:rPr>
              <w:t>GGE</w:t>
            </w:r>
            <w:r>
              <w:rPr>
                <w:rFonts w:ascii="times new roman" w:hAnsi="times new roman"/>
                <w:sz w:val="20"/>
              </w:rPr>
              <w:t>”), the holder of our then outstanding 66,625 shares of Series A Convertible Preferred Stock (convertible pursuant to their terms into 333,125 shares of the Company’s common stock), pursuant to which on June 25, 2018, SK Energy purchased, for $100,000, all of the Series A Convertible Preferred Stock held by GGE.</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As additional consideration for SK Energy agreeing to the terms of the June 2018 Note, the Company issued SK Energy 30,000 shares of common stock.</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 xml:space="preserve">On July 3, 2018, SK Energy, the then holder of all of the 66,625 outstanding shares of Series A Convertible Preferred Stock, converted such shares, pursuant to their terms, into 333,125 shares of the Company’s common stock. </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In July 2018, Dr. Kukes was appointed as a member of the Board of Directors of the Company and as Chief Executive Officer of the Company.</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October 25, 2018, the Company and SK Energy agreed to convert an aggregate of $163,757 of interest accrued under the June 2018 Note from its effective date through September 30, 2018 (the “</w:t>
            </w:r>
            <w:r>
              <w:rPr>
                <w:rFonts w:ascii="times new roman" w:hAnsi="times new roman"/>
                <w:sz w:val="20"/>
                <w:u w:val="single"/>
              </w:rPr>
              <w:t>Accrued Interest</w:t>
            </w:r>
            <w:r>
              <w:rPr>
                <w:rFonts w:ascii="times new roman" w:hAnsi="times new roman"/>
                <w:sz w:val="20"/>
              </w:rPr>
              <w:t>”) into shares of common stock, and the Company issued an aggregate of 3,756 shares of common stock to SK Energy upon conversion of the Accrued Interest on that date.</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February 15, 2019, the Company and SK Energy, entered into a First Amendment to Convertible Promissory Notes (the “</w:t>
            </w:r>
            <w:r>
              <w:rPr>
                <w:rFonts w:ascii="times new roman" w:hAnsi="times new roman"/>
                <w:sz w:val="20"/>
                <w:u w:val="single"/>
              </w:rPr>
              <w:t>Amendment</w:t>
            </w:r>
            <w:r>
              <w:rPr>
                <w:rFonts w:ascii="times new roman" w:hAnsi="times new roman"/>
                <w:sz w:val="20"/>
              </w:rPr>
              <w:t>”) which amended (i) a Convertible Promissory Note, in the principal amount of $22,000,000, issued by the Company to SK Energy on August 1, 2018 (the “</w:t>
            </w:r>
            <w:r>
              <w:rPr>
                <w:rFonts w:ascii="times new roman" w:hAnsi="times new roman"/>
                <w:sz w:val="20"/>
                <w:u w:val="single"/>
              </w:rPr>
              <w:t>August 2018 Note</w:t>
            </w:r>
            <w:r>
              <w:rPr>
                <w:rFonts w:ascii="times new roman" w:hAnsi="times new roman"/>
                <w:sz w:val="20"/>
              </w:rPr>
              <w:t>”) and certain other Convertible Promissory Notes totaling $1,600,000 sold by the Company on August 1, 2018 (the “</w:t>
            </w:r>
            <w:r>
              <w:rPr>
                <w:rFonts w:ascii="times new roman" w:hAnsi="times new roman"/>
                <w:sz w:val="20"/>
                <w:u w:val="single"/>
              </w:rPr>
              <w:t>Other Notes</w:t>
            </w:r>
            <w:r>
              <w:rPr>
                <w:rFonts w:ascii="times new roman" w:hAnsi="times new roman"/>
                <w:sz w:val="20"/>
              </w:rPr>
              <w:t>”), (ii) a Convertible Promissory Note, in the principal amount of $7,000,000, issued by the Company to SK Energy on October 25, 2018 (the “</w:t>
            </w:r>
            <w:r>
              <w:rPr>
                <w:rFonts w:ascii="times new roman" w:hAnsi="times new roman"/>
                <w:sz w:val="20"/>
                <w:u w:val="single"/>
              </w:rPr>
              <w:t>October 2018 Note</w:t>
            </w:r>
            <w:r>
              <w:rPr>
                <w:rFonts w:ascii="times new roman" w:hAnsi="times new roman"/>
                <w:sz w:val="20"/>
              </w:rPr>
              <w:t>”), and (iii) a Convertible Promissory Note, in the principal amount of $15,000,000, issued by the Company to SK Energy on January 11, 2019 (the “</w:t>
            </w:r>
            <w:r>
              <w:rPr>
                <w:rFonts w:ascii="times new roman" w:hAnsi="times new roman"/>
                <w:sz w:val="20"/>
                <w:u w:val="single"/>
              </w:rPr>
              <w:t>January 2019 Note</w:t>
            </w:r>
            <w:r>
              <w:rPr>
                <w:rFonts w:ascii="times new roman" w:hAnsi="times new roman"/>
                <w:sz w:val="20"/>
              </w:rPr>
              <w:t>,” and together with the August 2018 Note and the October 2018 Note, the “</w:t>
            </w:r>
            <w:r>
              <w:rPr>
                <w:rFonts w:ascii="times new roman" w:hAnsi="times new roman"/>
                <w:sz w:val="20"/>
                <w:u w:val="single"/>
              </w:rPr>
              <w:t>SK Convertible Notes</w:t>
            </w:r>
            <w:r>
              <w:rPr>
                <w:rFonts w:ascii="times new roman" w:hAnsi="times new roman"/>
                <w:sz w:val="20"/>
              </w:rPr>
              <w:t>”). Pursuant to the Amendment, each of the SK Convertible Notes and each of the Other Notes was amended to remove a conversion limitation that previously prevented SK Energy from converting any portion of the SK Convertible Notes (or Other Notes) into common stock of the Company if such conversion would have resulted in SK Energy beneficially owning (as such term is defined in the Exchange Act) more than 49.9% of the Company’s outstanding shares of common stock.</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Immediately following the entry into the Amendment, on February 15, 2019, SK Energy elected to convert (i) all $15,000,000 of the outstanding principal and all $125,729 of accrued interest under the January 2019 Note into 504,191 shares of restricted common stock of the Company, and (ii) all $7,000,000 of the outstanding principal and all $186,776 of accrued interest under the October 2018 Note into 200,748 shares of restricted common stock of the Company.</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March 1, 2019, the Company and SK Energy entered into an amendment to promissory note (the “</w:t>
            </w:r>
            <w:r>
              <w:rPr>
                <w:rFonts w:ascii="times new roman" w:hAnsi="times new roman"/>
                <w:sz w:val="20"/>
                <w:u w:val="single"/>
              </w:rPr>
              <w:t>Second Amendment</w:t>
            </w:r>
            <w:r>
              <w:rPr>
                <w:rFonts w:ascii="times new roman" w:hAnsi="times new roman"/>
                <w:sz w:val="20"/>
              </w:rPr>
              <w:t xml:space="preserve">”) which amended the June 2018 Note to provide SK Energy the right, at any time, at its option, to convert the principal and interest owed under such June 2018 Note, into shares of common stock, at a conversion price of $42.60 per share. </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In addition, on March 1, 2019, the holders of $1,500,000 of Other Notes sold their Other Notes at face value plus accrued and unpaid interest through March 1, 2019 to SK Energy (the “</w:t>
            </w:r>
            <w:r>
              <w:rPr>
                <w:rFonts w:ascii="times new roman" w:hAnsi="times new roman"/>
                <w:sz w:val="20"/>
                <w:u w:val="single"/>
              </w:rPr>
              <w:t>August 2018 Note Sale</w:t>
            </w:r>
            <w:r>
              <w:rPr>
                <w:rFonts w:ascii="times new roman" w:hAnsi="times new roman"/>
                <w:sz w:val="20"/>
              </w:rPr>
              <w:t>”). Holders which sold their Other Notes pursuant to the August 2018 Note Sale to SK Energy include an executive officer of SK Energy ($200,000 in principal amount of Other Notes); a trust affiliated with John J. Scelfo, a then director of the Company ($500,000 in principal amount of Other Notes); an entity affiliated with Ivar Siem, a then director of the Company, and J. Douglas Schick the then President (current President, Chief Executive Officer and director) of the Company ($500,000 in principal amount of Other Notes); and Harold Douglas Evans, a then director of the Company ($200,000 in principal amount of Other Notes).</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firstLine="675"/>
              <w:jc w:val="both"/>
              <w:rPr>
                <w:rFonts w:ascii="times new roman" w:hAnsi="times new roman"/>
                <w:sz w:val="20"/>
              </w:rPr>
            </w:pPr>
            <w:r>
              <w:rPr>
                <w:rFonts w:ascii="times new roman" w:hAnsi="times new roman"/>
                <w:sz w:val="20"/>
              </w:rPr>
              <w:t>Immediately following the effectiveness of the Second Amendment and August 2018 Note Sale, on March 1, 2019, SK Energy elected to convert all $31,300,000 of outstanding principal and an aggregate of $1,462,818 of accrued interest under the June 2018 Note and all $1,500,000 of the Other Notes then held by SK Energy into an aggregate of 766,613 shares of restricted common stock of the Company.</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May 21, 2019, the Company raised $14,999,998 through the sale of 340,909 shares of restricted Company common stock at a price of $44.00 per share to SK Energy, pursuant to a Common Stock Subscription Agreement, dated May 21, 2019.</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September 17, 2019, the Company raised an additional $13 million through the sale of 410,224 shares of restricted Company common stock at a price of $31.69 per share to SK Energy, pursuant to a Common Stock Subscription Agreement, dated September 17, 2019.</w:t>
            </w:r>
          </w:p>
          <w:p>
            <w:pPr>
              <w:pStyle w:val="TableContents"/>
              <w:bidi w:val="0"/>
              <w:spacing w:before="0" w:after="0"/>
              <w:ind w:left="0" w:right="0" w:hanging="0"/>
              <w:jc w:val="both"/>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On October 3, 2022, 2,589,566 shares of common stock of the Company then held by SK Energy were transferred to The SGK 2018 Revocable Trust (“</w:t>
            </w:r>
            <w:r>
              <w:rPr>
                <w:rFonts w:ascii="times new roman" w:hAnsi="times new roman"/>
                <w:sz w:val="20"/>
                <w:u w:val="single"/>
              </w:rPr>
              <w:t>SGK Trust</w:t>
            </w:r>
            <w:r>
              <w:rPr>
                <w:rFonts w:ascii="times new roman" w:hAnsi="times new roman"/>
                <w:sz w:val="20"/>
              </w:rPr>
              <w:t>”), for no consideration (the “</w:t>
            </w:r>
            <w:r>
              <w:rPr>
                <w:rFonts w:ascii="times new roman" w:hAnsi="times new roman"/>
                <w:sz w:val="20"/>
                <w:u w:val="single"/>
              </w:rPr>
              <w:t>Transfer</w:t>
            </w:r>
            <w:r>
              <w:rPr>
                <w:rFonts w:ascii="times new roman" w:hAnsi="times new roman"/>
                <w:sz w:val="20"/>
              </w:rPr>
              <w:t>”). SK Energy is beneficially owned by Dr. Simon Kukes and SGK Trust is a family trust of which Dr. Kukes is the trustee and beneficiary, and as such, Kukes is the beneficial owner of the shares held by SGK Trust, and there was no change in beneficial ownership of the shares in connection with the Transfer.</w:t>
            </w:r>
          </w:p>
          <w:p>
            <w:pPr>
              <w:pStyle w:val="TableContents"/>
              <w:bidi w:val="0"/>
              <w:spacing w:before="0" w:after="0"/>
              <w:ind w:left="0" w:right="0" w:hanging="0"/>
              <w:jc w:val="both"/>
              <w:rPr/>
            </w:pPr>
            <w:r>
              <w:rPr/>
              <w:t> </w:t>
            </w:r>
          </w:p>
          <w:p>
            <w:pPr>
              <w:pStyle w:val="TableContents"/>
              <w:bidi w:val="0"/>
              <w:spacing w:before="0" w:after="0"/>
              <w:ind w:left="0" w:right="0" w:hanging="0"/>
              <w:jc w:val="left"/>
              <w:rPr/>
            </w:pPr>
            <w:r>
              <w:rPr>
                <w:rStyle w:val="StrongEmphasis"/>
                <w:rFonts w:ascii="times new roman" w:hAnsi="times new roman"/>
                <w:sz w:val="20"/>
              </w:rPr>
              <w:t>Corporate Information</w:t>
            </w:r>
          </w:p>
          <w:p>
            <w:pPr>
              <w:pStyle w:val="TableContents"/>
              <w:bidi w:val="0"/>
              <w:spacing w:before="0" w:after="0"/>
              <w:ind w:left="0" w:right="0" w:hanging="0"/>
              <w:jc w:val="both"/>
              <w:rPr/>
            </w:pPr>
            <w:r>
              <w:rPr/>
              <w:t> </w:t>
            </w:r>
          </w:p>
          <w:p>
            <w:pPr>
              <w:pStyle w:val="TableContents"/>
              <w:bidi w:val="0"/>
              <w:spacing w:before="0" w:after="0"/>
              <w:ind w:left="0" w:right="0" w:firstLine="675"/>
              <w:jc w:val="both"/>
              <w:rPr/>
            </w:pPr>
            <w:r>
              <w:rPr>
                <w:rFonts w:ascii="times new roman" w:hAnsi="times new roman"/>
                <w:sz w:val="20"/>
              </w:rPr>
              <w:t xml:space="preserve">Our principal executive offices are located at 575 N. Dairy Ashford, Suite 210, Houston, Texas 77079. Our telephone number is (713) 221-1768. We file annual, quarterly, and current reports, proxy statements and other information with the SEC. Our SEC filings (reports, proxy and information statements, and other information) are available to the public over the Internet at the SEC’s website at </w:t>
            </w:r>
            <w:r>
              <w:rPr>
                <w:rFonts w:ascii="times new roman" w:hAnsi="times new roman"/>
                <w:sz w:val="20"/>
                <w:u w:val="single"/>
              </w:rPr>
              <w:t>www.sec.gov</w:t>
            </w:r>
            <w:r>
              <w:rPr>
                <w:rFonts w:ascii="times new roman" w:hAnsi="times new roman"/>
                <w:sz w:val="20"/>
              </w:rPr>
              <w:t xml:space="preserve"> and are available for download, free of charge, soon after such reports are filed with or furnished to the SEC, on our website at </w:t>
            </w:r>
            <w:r>
              <w:rPr>
                <w:rFonts w:ascii="times new roman" w:hAnsi="times new roman"/>
                <w:sz w:val="20"/>
                <w:u w:val="single"/>
              </w:rPr>
              <w:t>https://www.pedevco.com/sec-filings</w:t>
            </w:r>
            <w:r>
              <w:rPr>
                <w:rFonts w:ascii="times new roman" w:hAnsi="times new roman"/>
                <w:sz w:val="20"/>
              </w:rPr>
              <w:t xml:space="preserve">. </w:t>
            </w:r>
            <w:r>
              <w:rPr>
                <w:rStyle w:val="Emphasis"/>
                <w:rFonts w:ascii="times new roman" w:hAnsi="times new roman"/>
                <w:sz w:val="20"/>
              </w:rPr>
              <w:t>The information contained on, or that can be accessed through, our website is not incorporated by reference into this prospectus. We have included our web address as an inactive textual reference only. </w:t>
            </w:r>
            <w:r>
              <w:rPr>
                <w:rFonts w:ascii="times new roman" w:hAnsi="times new roman"/>
                <w:sz w:val="20"/>
              </w:rPr>
              <w:t>We make our Annual Reports on Form 10-K, Quarterly Reports on Form 10-Q, Current Reports on Form 8-K, and amendments to these reports available free of charge on our website as soon as reasonably practicable after we file these reports with the Securities and Exchange Commission.</w:t>
            </w:r>
          </w:p>
          <w:p>
            <w:pPr>
              <w:pStyle w:val="TableContents"/>
              <w:bidi w:val="0"/>
              <w:spacing w:before="0" w:after="0"/>
              <w:ind w:left="0" w:right="0" w:hanging="0"/>
              <w:jc w:val="left"/>
              <w:rPr/>
            </w:pPr>
            <w:r>
              <w:rPr/>
              <w:t> </w:t>
            </w:r>
          </w:p>
          <w:p>
            <w:pPr>
              <w:pStyle w:val="TableContents"/>
              <w:bidi w:val="0"/>
              <w:spacing w:before="0" w:after="0"/>
              <w:ind w:left="0" w:right="0" w:firstLine="675"/>
              <w:jc w:val="left"/>
              <w:rPr/>
            </w:pPr>
            <w:r>
              <w:rPr>
                <w:rStyle w:val="StrongEmphasis"/>
                <w:rFonts w:ascii="times new roman" w:hAnsi="times new roman"/>
                <w:sz w:val="20"/>
              </w:rPr>
              <w:t>Risks Affecting Our Company</w:t>
            </w:r>
          </w:p>
          <w:p>
            <w:pPr>
              <w:pStyle w:val="TableContents"/>
              <w:bidi w:val="0"/>
              <w:spacing w:before="0" w:after="0"/>
              <w:ind w:left="0" w:right="0" w:hanging="0"/>
              <w:jc w:val="left"/>
              <w:rPr/>
            </w:pPr>
            <w:r>
              <w:rPr/>
              <w:t> </w:t>
            </w:r>
          </w:p>
          <w:p>
            <w:pPr>
              <w:pStyle w:val="TableContents"/>
              <w:bidi w:val="0"/>
              <w:spacing w:before="0" w:after="0"/>
              <w:ind w:left="0" w:right="0" w:firstLine="675"/>
              <w:jc w:val="both"/>
              <w:rPr>
                <w:rFonts w:ascii="times new roman" w:hAnsi="times new roman"/>
                <w:sz w:val="20"/>
              </w:rPr>
            </w:pPr>
            <w:r>
              <w:rPr>
                <w:rFonts w:ascii="times new roman" w:hAnsi="times new roman"/>
                <w:sz w:val="20"/>
              </w:rPr>
              <w:t>In evaluating an investment in our securities, you should carefully read this prospectus and especially consider the factors incorporated by reference in the sections titled “</w:t>
            </w:r>
            <w:r>
              <w:rPr>
                <w:rFonts w:ascii="times new roman" w:hAnsi="times new roman"/>
                <w:sz w:val="20"/>
                <w:u w:val="single"/>
              </w:rPr>
              <w:t>Risk Factors</w:t>
            </w:r>
            <w:r>
              <w:rPr>
                <w:rFonts w:ascii="times new roman" w:hAnsi="times new roman"/>
                <w:sz w:val="20"/>
              </w:rPr>
              <w:t>” commencing on page 9 of this prospectus and our Annual Report on Form 10-K for the year ended December 31, 2025, and future Annual Reports on Form 10-K and Quarterly Reports on Form 10-Q, each incorporated by reference herein – see “</w:t>
            </w:r>
            <w:r>
              <w:rPr>
                <w:rFonts w:ascii="times new roman" w:hAnsi="times new roman"/>
                <w:sz w:val="20"/>
                <w:u w:val="single"/>
              </w:rPr>
              <w:t>Incorporation of Certain Documents By Reference</w:t>
            </w:r>
            <w:r>
              <w:rPr>
                <w:rFonts w:ascii="times new roman" w:hAnsi="times new roman"/>
                <w:sz w:val="20"/>
              </w:rPr>
              <w:t>”.</w:t>
            </w:r>
          </w:p>
        </w:tc>
      </w:tr>
    </w:tbl>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2063"/>
        <w:gridCol w:w="90"/>
        <w:gridCol w:w="8052"/>
      </w:tblGrid>
      <w:tr>
        <w:trPr/>
        <w:tc>
          <w:tcPr>
            <w:tcW w:w="10205" w:type="dxa"/>
            <w:gridSpan w:val="3"/>
            <w:tcBorders/>
            <w:vAlign w:val="center"/>
          </w:tcPr>
          <w:p>
            <w:pPr>
              <w:pStyle w:val="TableContents"/>
              <w:bidi w:val="0"/>
              <w:spacing w:before="0" w:after="0"/>
              <w:ind w:left="0" w:right="0" w:hanging="0"/>
              <w:jc w:val="center"/>
              <w:rPr/>
            </w:pPr>
            <w:bookmarkStart w:id="5" w:name="THEOFFERING"/>
            <w:bookmarkEnd w:id="5"/>
            <w:r>
              <w:rPr>
                <w:rStyle w:val="StrongEmphasis"/>
                <w:rFonts w:ascii="times new roman" w:hAnsi="times new roman"/>
                <w:sz w:val="20"/>
              </w:rPr>
              <w:t>THE OFFERING</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left"/>
              <w:rPr/>
            </w:pPr>
            <w:r>
              <w:rPr/>
              <w:t> </w:t>
            </w:r>
          </w:p>
        </w:tc>
      </w:tr>
      <w:tr>
        <w:trPr/>
        <w:tc>
          <w:tcPr>
            <w:tcW w:w="2063" w:type="dxa"/>
            <w:tcBorders/>
            <w:vAlign w:val="center"/>
          </w:tcPr>
          <w:p>
            <w:pPr>
              <w:pStyle w:val="TableContents"/>
              <w:bidi w:val="0"/>
              <w:spacing w:before="0" w:after="0"/>
              <w:ind w:left="0" w:right="0" w:hanging="0"/>
              <w:jc w:val="left"/>
              <w:rPr/>
            </w:pPr>
            <w:r>
              <w:rPr>
                <w:rStyle w:val="StrongEmphasis"/>
                <w:rFonts w:ascii="times new roman" w:hAnsi="times new roman"/>
                <w:sz w:val="20"/>
              </w:rPr>
              <w:t>Securities to be Offered by the Selling Stockholders</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Up to 11,040,909 shares of our common stock.</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pPr>
            <w:r>
              <w:rPr/>
              <w:t> </w:t>
            </w:r>
          </w:p>
        </w:tc>
      </w:tr>
      <w:tr>
        <w:trPr/>
        <w:tc>
          <w:tcPr>
            <w:tcW w:w="2063" w:type="dxa"/>
            <w:tcBorders/>
            <w:vAlign w:val="center"/>
          </w:tcPr>
          <w:p>
            <w:pPr>
              <w:pStyle w:val="TableContents"/>
              <w:bidi w:val="0"/>
              <w:spacing w:before="0" w:after="0"/>
              <w:ind w:left="0" w:right="0" w:hanging="0"/>
              <w:jc w:val="left"/>
              <w:rPr/>
            </w:pPr>
            <w:r>
              <w:rPr>
                <w:rStyle w:val="StrongEmphasis"/>
                <w:rFonts w:ascii="times new roman" w:hAnsi="times new roman"/>
                <w:sz w:val="20"/>
              </w:rPr>
              <w:t>Terms of the Offering:</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selling stockholders will determine when and how it will sell the shares of common stock offered in this prospectus, as described in “</w:t>
            </w:r>
            <w:r>
              <w:rPr>
                <w:rFonts w:ascii="times new roman" w:hAnsi="times new roman"/>
                <w:sz w:val="20"/>
                <w:u w:val="single"/>
              </w:rPr>
              <w:t>Plan of Distribution</w:t>
            </w:r>
            <w:r>
              <w:rPr>
                <w:rFonts w:ascii="times new roman" w:hAnsi="times new roman"/>
                <w:sz w:val="20"/>
              </w:rPr>
              <w:t>.”</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pPr>
            <w:r>
              <w:rPr/>
              <w:t> </w:t>
            </w:r>
          </w:p>
        </w:tc>
      </w:tr>
      <w:tr>
        <w:trPr/>
        <w:tc>
          <w:tcPr>
            <w:tcW w:w="2063" w:type="dxa"/>
            <w:tcBorders/>
            <w:vAlign w:val="center"/>
          </w:tcPr>
          <w:p>
            <w:pPr>
              <w:pStyle w:val="TableContents"/>
              <w:bidi w:val="0"/>
              <w:spacing w:before="0" w:after="0"/>
              <w:ind w:left="0" w:right="0" w:hanging="0"/>
              <w:jc w:val="left"/>
              <w:rPr/>
            </w:pPr>
            <w:r>
              <w:rPr>
                <w:rStyle w:val="StrongEmphasis"/>
                <w:rFonts w:ascii="times new roman" w:hAnsi="times new roman"/>
                <w:sz w:val="20"/>
              </w:rPr>
              <w:t>Common Stock Outstanding Prior to this Offering</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13,292,013 shares of our common stock</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pPr>
            <w:r>
              <w:rPr/>
              <w:t> </w:t>
            </w:r>
          </w:p>
        </w:tc>
      </w:tr>
      <w:tr>
        <w:trPr/>
        <w:tc>
          <w:tcPr>
            <w:tcW w:w="2063" w:type="dxa"/>
            <w:tcBorders/>
            <w:vAlign w:val="center"/>
          </w:tcPr>
          <w:p>
            <w:pPr>
              <w:pStyle w:val="TableContents"/>
              <w:bidi w:val="0"/>
              <w:spacing w:before="0" w:after="0"/>
              <w:ind w:left="0" w:right="0" w:hanging="0"/>
              <w:jc w:val="left"/>
              <w:rPr/>
            </w:pPr>
            <w:r>
              <w:rPr>
                <w:rStyle w:val="StrongEmphasis"/>
                <w:rFonts w:ascii="times new roman" w:hAnsi="times new roman"/>
                <w:sz w:val="20"/>
              </w:rPr>
              <w:t>Use of Proceeds</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proceeds from the sale of the shares of common stock under this prospectus will be for the account of the selling stockholders. We will not receive any proceeds from the sale of our shares of common stock offered pursuant to this prospectus. See the section entitled “</w:t>
            </w:r>
            <w:r>
              <w:rPr>
                <w:rFonts w:ascii="times new roman" w:hAnsi="times new roman"/>
                <w:sz w:val="20"/>
                <w:u w:val="single"/>
              </w:rPr>
              <w:t>Use of Proceeds</w:t>
            </w:r>
            <w:r>
              <w:rPr>
                <w:rFonts w:ascii="times new roman" w:hAnsi="times new roman"/>
                <w:sz w:val="20"/>
              </w:rPr>
              <w:t>” in this prospectus.</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pPr>
            <w:r>
              <w:rPr/>
              <w:t> </w:t>
            </w:r>
          </w:p>
        </w:tc>
      </w:tr>
      <w:tr>
        <w:trPr/>
        <w:tc>
          <w:tcPr>
            <w:tcW w:w="2063" w:type="dxa"/>
            <w:tcBorders/>
            <w:vAlign w:val="center"/>
          </w:tcPr>
          <w:p>
            <w:pPr>
              <w:pStyle w:val="TableContents"/>
              <w:bidi w:val="0"/>
              <w:spacing w:before="0" w:after="0"/>
              <w:ind w:left="0" w:right="0" w:hanging="0"/>
              <w:jc w:val="left"/>
              <w:rPr/>
            </w:pPr>
            <w:r>
              <w:rPr>
                <w:rStyle w:val="StrongEmphasis"/>
                <w:rFonts w:ascii="times new roman" w:hAnsi="times new roman"/>
                <w:sz w:val="20"/>
              </w:rPr>
              <w:t>Risk Factors</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 investment in our securities involves a high degree of risk. You should read the section entitled “</w:t>
            </w:r>
            <w:r>
              <w:rPr>
                <w:rFonts w:ascii="times new roman" w:hAnsi="times new roman"/>
                <w:sz w:val="20"/>
                <w:u w:val="single"/>
              </w:rPr>
              <w:t>Risk Factors</w:t>
            </w:r>
            <w:r>
              <w:rPr>
                <w:rFonts w:ascii="times new roman" w:hAnsi="times new roman"/>
                <w:sz w:val="20"/>
              </w:rPr>
              <w:t>” in this prospectus for a discussion of the risk factors to consider carefully before deciding to invest in shares of our common stock.</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pPr>
            <w:r>
              <w:rPr/>
              <w:t> </w:t>
            </w:r>
          </w:p>
        </w:tc>
      </w:tr>
      <w:tr>
        <w:trPr/>
        <w:tc>
          <w:tcPr>
            <w:tcW w:w="2063" w:type="dxa"/>
            <w:tcBorders/>
            <w:vAlign w:val="center"/>
          </w:tcPr>
          <w:p>
            <w:pPr>
              <w:pStyle w:val="TableContents"/>
              <w:bidi w:val="0"/>
              <w:spacing w:before="0" w:after="0"/>
              <w:ind w:left="0" w:right="0" w:hanging="0"/>
              <w:jc w:val="left"/>
              <w:rPr/>
            </w:pPr>
            <w:r>
              <w:rPr>
                <w:rStyle w:val="StrongEmphasis"/>
                <w:rFonts w:ascii="times new roman" w:hAnsi="times new roman"/>
                <w:sz w:val="20"/>
              </w:rPr>
              <w:t>NYSE American Symbol</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PED</w:t>
            </w:r>
          </w:p>
        </w:tc>
      </w:tr>
      <w:tr>
        <w:trPr/>
        <w:tc>
          <w:tcPr>
            <w:tcW w:w="2063"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052" w:type="dxa"/>
            <w:tcBorders/>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1"/>
        <w:gridCol w:w="317"/>
        <w:gridCol w:w="9687"/>
      </w:tblGrid>
      <w:tr>
        <w:trPr/>
        <w:tc>
          <w:tcPr>
            <w:tcW w:w="10205" w:type="dxa"/>
            <w:gridSpan w:val="3"/>
            <w:tcBorders/>
            <w:vAlign w:val="center"/>
          </w:tcPr>
          <w:p>
            <w:pPr>
              <w:pStyle w:val="TableContents"/>
              <w:bidi w:val="0"/>
              <w:spacing w:before="0" w:after="0"/>
              <w:ind w:left="0" w:right="0" w:firstLine="675"/>
              <w:jc w:val="both"/>
              <w:rPr>
                <w:rFonts w:ascii="times new roman" w:hAnsi="times new roman"/>
                <w:sz w:val="20"/>
              </w:rPr>
            </w:pPr>
            <w:r>
              <w:rPr>
                <w:rFonts w:ascii="times new roman" w:hAnsi="times new roman"/>
                <w:sz w:val="20"/>
              </w:rPr>
              <w:t>The number of shares of our common stock shown as issued and outstanding in the table above is based on 13,292,013 shares of our common stock outstanding as of August 24, 2026 and excludes as of such date:</w:t>
            </w:r>
          </w:p>
        </w:tc>
      </w:tr>
      <w:tr>
        <w:trPr/>
        <w:tc>
          <w:tcPr>
            <w:tcW w:w="201"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 </w:t>
            </w:r>
          </w:p>
        </w:tc>
        <w:tc>
          <w:tcPr>
            <w:tcW w:w="9687" w:type="dxa"/>
            <w:tcBorders/>
            <w:vAlign w:val="center"/>
          </w:tcPr>
          <w:p>
            <w:pPr>
              <w:pStyle w:val="TableContents"/>
              <w:bidi w:val="0"/>
              <w:spacing w:before="0" w:after="0"/>
              <w:ind w:left="0" w:right="0" w:hanging="0"/>
              <w:jc w:val="left"/>
              <w:rPr/>
            </w:pPr>
            <w:r>
              <w:rPr/>
              <w:t> </w:t>
            </w:r>
          </w:p>
        </w:tc>
      </w:tr>
      <w:tr>
        <w:trPr/>
        <w:tc>
          <w:tcPr>
            <w:tcW w:w="201"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w:t>
            </w:r>
          </w:p>
        </w:tc>
        <w:tc>
          <w:tcPr>
            <w:tcW w:w="968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88,200 shares of common stock issuable upon the exercise of outstanding stock options with a weighted average exercise price of $18.72 per share; </w:t>
            </w:r>
          </w:p>
        </w:tc>
      </w:tr>
      <w:tr>
        <w:trPr/>
        <w:tc>
          <w:tcPr>
            <w:tcW w:w="201"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w:t>
            </w:r>
          </w:p>
        </w:tc>
        <w:tc>
          <w:tcPr>
            <w:tcW w:w="968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128,200 shares of common stock issuable upon the vesting of outstanding restricted stock unit awards; </w:t>
            </w:r>
          </w:p>
        </w:tc>
      </w:tr>
      <w:tr>
        <w:trPr/>
        <w:tc>
          <w:tcPr>
            <w:tcW w:w="201"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w:t>
            </w:r>
          </w:p>
        </w:tc>
        <w:tc>
          <w:tcPr>
            <w:tcW w:w="968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50,440 shares of common stock issuable upon the vesting of performance-based restricted stock unit awards; and</w:t>
            </w:r>
          </w:p>
        </w:tc>
      </w:tr>
      <w:tr>
        <w:trPr/>
        <w:tc>
          <w:tcPr>
            <w:tcW w:w="201" w:type="dxa"/>
            <w:tcBorders/>
            <w:vAlign w:val="center"/>
          </w:tcPr>
          <w:p>
            <w:pPr>
              <w:pStyle w:val="TableContents"/>
              <w:bidi w:val="0"/>
              <w:spacing w:before="0" w:after="0"/>
              <w:ind w:left="0" w:right="0" w:hanging="0"/>
              <w:jc w:val="left"/>
              <w:rPr/>
            </w:pPr>
            <w:r>
              <w:rPr/>
              <w:t> </w:t>
            </w:r>
          </w:p>
        </w:tc>
        <w:tc>
          <w:tcPr>
            <w:tcW w:w="317" w:type="dxa"/>
            <w:tcBorders/>
            <w:vAlign w:val="center"/>
          </w:tcPr>
          <w:p>
            <w:pPr>
              <w:pStyle w:val="TableContents"/>
              <w:bidi w:val="0"/>
              <w:spacing w:before="0" w:after="0"/>
              <w:ind w:left="0" w:right="0" w:hanging="0"/>
              <w:jc w:val="left"/>
              <w:rPr/>
            </w:pPr>
            <w:r>
              <w:rPr/>
              <w:t>●</w:t>
            </w:r>
          </w:p>
        </w:tc>
        <w:tc>
          <w:tcPr>
            <w:tcW w:w="968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90,897 additional shares of our common stock reserved for future issuance under our equity incentive plans.</w:t>
            </w:r>
          </w:p>
        </w:tc>
      </w:tr>
    </w:tbl>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6" w:name="RISKFACTORS"/>
      <w:bookmarkEnd w:id="6"/>
      <w:r>
        <w:rPr>
          <w:rStyle w:val="StrongEmphasis"/>
          <w:rFonts w:ascii="times new roman" w:hAnsi="times new roman"/>
          <w:sz w:val="20"/>
        </w:rPr>
        <w:t>RISK FACTORS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Investing in our common stock involves a high degree of risk. Before you decide to invest in our common stock, you should carefully consider the risks described in the section captioned “</w:t>
      </w:r>
      <w:r>
        <w:rPr>
          <w:rFonts w:ascii="times new roman" w:hAnsi="times new roman"/>
          <w:sz w:val="20"/>
          <w:u w:val="single"/>
        </w:rPr>
        <w:t>Risk Factors</w:t>
      </w:r>
      <w:r>
        <w:rPr>
          <w:rFonts w:ascii="times new roman" w:hAnsi="times new roman"/>
          <w:sz w:val="20"/>
        </w:rPr>
        <w:t>” in our most recent Annual Report on Form 10-K, and our most recent Quarterly Report on Form 10-Q (if any), which are incorporated by reference herein in their entirety, and those risk factors set forth below, together with the other information in this prospectus or any prospectus supplement and documents incorporated by reference in this prospectus or any prospectus supplement. The risks described in our most recent Annual Report on Form 10-K, as amended, our most recent Quarterly Report on Form 10-Q and below are not the only ones facing our company. Additional risks and uncertainties may also impair our business operations. If any of the risks described in our most recent Annual Report on Form 10-K, as amended, our most recent Quarterly Report on Form 10-Q and the other filings incorporated by reference herein, or below, occurs, our business, financial condition, results of operations and future growth prospects could be harmed. In these circumstances, the market price of our common stock could decline, and you may lose all or part of your investment.</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Sales of our common stock registered for resale by the selling stockholders pursuant to this prospectus or the perception of such sales in the public market or otherwise could cause the market price for our common stock to decline.</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sale of shares of our common stock in the public market or otherwise, including sales pursuant to this prospectus, or the perception that such sales could occur, could reduce the prevailing market price of shares of our common stock and increase the volatility of our share price. These sales, or the possibility that these sales may occur, also might make it more difficult for us:</w:t>
      </w:r>
    </w:p>
    <w:p>
      <w:pPr>
        <w:pStyle w:val="TextBody"/>
        <w:bidi w:val="0"/>
        <w:spacing w:before="0" w:after="0"/>
        <w:ind w:left="0" w:right="0" w:hanging="0"/>
        <w:jc w:val="both"/>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(i) to sell equity securities in the future at a time and at a price that we deem appropriate; and</w:t>
      </w:r>
    </w:p>
    <w:p>
      <w:pPr>
        <w:pStyle w:val="TextBody"/>
        <w:bidi w:val="0"/>
        <w:spacing w:before="0" w:after="0"/>
        <w:ind w:left="0" w:right="0" w:hanging="0"/>
        <w:jc w:val="left"/>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(ii) to comply with the NYSE listing standards with regard to the minimum bid price of our common stock.</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Resales of our common stock may cause the market price of our securities to drop significantly, even if our business is doing well.</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shares of common stock being offered for resale pursuant to this prospectus by the selling stockholders represent approximately 83.1% of the outstanding shares of common stock as of August 24, 2026. After the registration statement, of which this prospectus is a part, is effective and until such time that it is no longer effective, the registration statement registering the shares will permit the resale of these shares. As such, sales of a substantial number of shares of our common stock in the public market could occur at any time.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shares are sold in the public market, such sales of our common stock could have the effect of depressing the market price for our common stock. These sales may also make it more difficult for us to sell equity securities in the future at a time and at a price that we deem appropriate to raise funds through future offerings of our common stock.</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7" w:name="CAUTIONARYNOTE"/>
      <w:bookmarkEnd w:id="7"/>
      <w:r>
        <w:rPr>
          <w:rStyle w:val="StrongEmphasis"/>
          <w:rFonts w:ascii="times new roman" w:hAnsi="times new roman"/>
          <w:sz w:val="20"/>
        </w:rPr>
        <w:t>CAUTIONARY NOTE REGARDING FORWARD-LOOKING INFORMATION</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prospectus and the documents or information incorporated by reference herein contain, and any prospectus supplement and the documents incorporated therein may contain, forward-looking statements within the meaning of the federal securities laws, including Section 27A of the Securities Act of 1933, as amended, Section 21E of the Securities Exchange Act of 1934, as amended (the “</w:t>
      </w:r>
      <w:r>
        <w:rPr>
          <w:rFonts w:ascii="times new roman" w:hAnsi="times new roman"/>
          <w:sz w:val="20"/>
          <w:u w:val="single"/>
        </w:rPr>
        <w:t>Exchange Act</w:t>
      </w:r>
      <w:r>
        <w:rPr>
          <w:rFonts w:ascii="times new roman" w:hAnsi="times new roman"/>
          <w:sz w:val="20"/>
        </w:rPr>
        <w:t>”), and the Private Securities Litigation Reform Act of 1995, as amended. These forward-looking statements are subject to risks and uncertainties and other factors that may cause our actual results, performance or achievements to be materially different from the results, performance or achievements expressed or implied by the forward-looking statements. You should not unduly rely on these statements. Factors, risks, and uncertainties that could cause actual results to differ materially from those in the forward-looking statements include, among others: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business strategy;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reserves;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technology;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cash flows and liquidity;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financial strategy, budget, projections and operating results;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oil and natural gas realized prices;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timing and amount of future production of oil and natural gas;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availability of oil field labor;</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amount, nature and timing of capital expenditures, including future exploration and development costs;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drilling of wells;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government regulation and taxation of the oil and natural gas industry;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changes in, and interpretations and enforcement of, environmental and other laws and other political and regulatory developments, including in particular additional permit scrutiny in Colorado;</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exploitation projects or property acquisitions;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costs of exploiting and developing our properties and conducting other operations;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general economic conditions in the United States and around the world, including the effect of regional or global health pandemics (such as, for example, the 2019 coronavirus (“</w:t>
            </w:r>
            <w:r>
              <w:rPr>
                <w:rFonts w:ascii="times new roman" w:hAnsi="times new roman"/>
                <w:sz w:val="20"/>
                <w:u w:val="single"/>
              </w:rPr>
              <w:t>COVID-19</w:t>
            </w:r>
            <w:r>
              <w:rPr>
                <w:rFonts w:ascii="times new roman" w:hAnsi="times new roman"/>
                <w:sz w:val="20"/>
              </w:rPr>
              <w:t>”)), recent changes in inflation and interest rates, and risks of recessions, including as a result thereof;</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competition in the oil and natural gas industry;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effectiveness of our risk management activities;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environmental liabilities;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counterparty credit risk;</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developments in oil-producing and natural gas-producing countries;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political conditions in or affecting oil, natural gas liquids (NGLs) and natural gas producing regions and/or pipelines, including in Eastern Europe, the Middle East and South America, for example, as experienced with the Russian invasion of the Ukraine in February 2022 and the current conflict in Iran, which conflicts are ongoing;</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future operating results;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benefits of our recent acquisitions (discussed below) and future acquisition transactions;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estimated future reserves and the present value of such reserves;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plans, objectives, expectations and intentions contained in this Annual Report that are not historical; and</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those risks discussed under, or incorporated by reference in, “</w:t>
            </w:r>
            <w:r>
              <w:rPr>
                <w:rFonts w:ascii="times new roman" w:hAnsi="times new roman"/>
                <w:sz w:val="20"/>
                <w:u w:val="single"/>
              </w:rPr>
              <w:t>Risk Factors</w:t>
            </w:r>
            <w:r>
              <w:rPr>
                <w:rFonts w:ascii="times new roman" w:hAnsi="times new roman"/>
                <w:sz w:val="20"/>
              </w:rPr>
              <w:t>” above.</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identify forward-looking statements by use of terms such as “</w:t>
      </w:r>
      <w:r>
        <w:rPr>
          <w:rFonts w:ascii="times new roman" w:hAnsi="times new roman"/>
          <w:sz w:val="20"/>
          <w:u w:val="single"/>
        </w:rPr>
        <w:t>may</w:t>
      </w:r>
      <w:r>
        <w:rPr>
          <w:rFonts w:ascii="times new roman" w:hAnsi="times new roman"/>
          <w:sz w:val="20"/>
        </w:rPr>
        <w:t>,” “</w:t>
      </w:r>
      <w:r>
        <w:rPr>
          <w:rFonts w:ascii="times new roman" w:hAnsi="times new roman"/>
          <w:sz w:val="20"/>
          <w:u w:val="single"/>
        </w:rPr>
        <w:t>will</w:t>
      </w:r>
      <w:r>
        <w:rPr>
          <w:rFonts w:ascii="times new roman" w:hAnsi="times new roman"/>
          <w:sz w:val="20"/>
        </w:rPr>
        <w:t>,” “</w:t>
      </w:r>
      <w:r>
        <w:rPr>
          <w:rFonts w:ascii="times new roman" w:hAnsi="times new roman"/>
          <w:sz w:val="20"/>
          <w:u w:val="single"/>
        </w:rPr>
        <w:t>expect</w:t>
      </w:r>
      <w:r>
        <w:rPr>
          <w:rFonts w:ascii="times new roman" w:hAnsi="times new roman"/>
          <w:sz w:val="20"/>
        </w:rPr>
        <w:t>,” “</w:t>
      </w:r>
      <w:r>
        <w:rPr>
          <w:rFonts w:ascii="times new roman" w:hAnsi="times new roman"/>
          <w:sz w:val="20"/>
          <w:u w:val="single"/>
        </w:rPr>
        <w:t>anticipate</w:t>
      </w:r>
      <w:r>
        <w:rPr>
          <w:rFonts w:ascii="times new roman" w:hAnsi="times new roman"/>
          <w:sz w:val="20"/>
        </w:rPr>
        <w:t>,” “</w:t>
      </w:r>
      <w:r>
        <w:rPr>
          <w:rFonts w:ascii="times new roman" w:hAnsi="times new roman"/>
          <w:sz w:val="20"/>
          <w:u w:val="single"/>
        </w:rPr>
        <w:t>estimate</w:t>
      </w:r>
      <w:r>
        <w:rPr>
          <w:rFonts w:ascii="times new roman" w:hAnsi="times new roman"/>
          <w:sz w:val="20"/>
        </w:rPr>
        <w:t>,” “</w:t>
      </w:r>
      <w:r>
        <w:rPr>
          <w:rFonts w:ascii="times new roman" w:hAnsi="times new roman"/>
          <w:sz w:val="20"/>
          <w:u w:val="single"/>
        </w:rPr>
        <w:t>hope</w:t>
      </w:r>
      <w:r>
        <w:rPr>
          <w:rFonts w:ascii="times new roman" w:hAnsi="times new roman"/>
          <w:sz w:val="20"/>
        </w:rPr>
        <w:t>,” “</w:t>
      </w:r>
      <w:r>
        <w:rPr>
          <w:rFonts w:ascii="times new roman" w:hAnsi="times new roman"/>
          <w:sz w:val="20"/>
          <w:u w:val="single"/>
        </w:rPr>
        <w:t>plan</w:t>
      </w:r>
      <w:r>
        <w:rPr>
          <w:rFonts w:ascii="times new roman" w:hAnsi="times new roman"/>
          <w:sz w:val="20"/>
        </w:rPr>
        <w:t>,” “</w:t>
      </w:r>
      <w:r>
        <w:rPr>
          <w:rFonts w:ascii="times new roman" w:hAnsi="times new roman"/>
          <w:sz w:val="20"/>
          <w:u w:val="single"/>
        </w:rPr>
        <w:t>believe</w:t>
      </w:r>
      <w:r>
        <w:rPr>
          <w:rFonts w:ascii="times new roman" w:hAnsi="times new roman"/>
          <w:sz w:val="20"/>
        </w:rPr>
        <w:t>,” “</w:t>
      </w:r>
      <w:r>
        <w:rPr>
          <w:rFonts w:ascii="times new roman" w:hAnsi="times new roman"/>
          <w:sz w:val="20"/>
          <w:u w:val="single"/>
        </w:rPr>
        <w:t>predict</w:t>
      </w:r>
      <w:r>
        <w:rPr>
          <w:rFonts w:ascii="times new roman" w:hAnsi="times new roman"/>
          <w:sz w:val="20"/>
        </w:rPr>
        <w:t>,” “</w:t>
      </w:r>
      <w:r>
        <w:rPr>
          <w:rFonts w:ascii="times new roman" w:hAnsi="times new roman"/>
          <w:sz w:val="20"/>
          <w:u w:val="single"/>
        </w:rPr>
        <w:t>envision</w:t>
      </w:r>
      <w:r>
        <w:rPr>
          <w:rFonts w:ascii="times new roman" w:hAnsi="times new roman"/>
          <w:sz w:val="20"/>
        </w:rPr>
        <w:t>,” “</w:t>
      </w:r>
      <w:r>
        <w:rPr>
          <w:rFonts w:ascii="times new roman" w:hAnsi="times new roman"/>
          <w:sz w:val="20"/>
          <w:u w:val="single"/>
        </w:rPr>
        <w:t>intend</w:t>
      </w:r>
      <w:r>
        <w:rPr>
          <w:rFonts w:ascii="times new roman" w:hAnsi="times new roman"/>
          <w:sz w:val="20"/>
        </w:rPr>
        <w:t>,” “</w:t>
      </w:r>
      <w:r>
        <w:rPr>
          <w:rFonts w:ascii="times new roman" w:hAnsi="times new roman"/>
          <w:sz w:val="20"/>
          <w:u w:val="single"/>
        </w:rPr>
        <w:t>will</w:t>
      </w:r>
      <w:r>
        <w:rPr>
          <w:rFonts w:ascii="times new roman" w:hAnsi="times new roman"/>
          <w:sz w:val="20"/>
        </w:rPr>
        <w:t>,” “</w:t>
      </w:r>
      <w:r>
        <w:rPr>
          <w:rFonts w:ascii="times new roman" w:hAnsi="times new roman"/>
          <w:sz w:val="20"/>
          <w:u w:val="single"/>
        </w:rPr>
        <w:t>continue</w:t>
      </w:r>
      <w:r>
        <w:rPr>
          <w:rFonts w:ascii="times new roman" w:hAnsi="times new roman"/>
          <w:sz w:val="20"/>
        </w:rPr>
        <w:t>,” “potential,” “</w:t>
      </w:r>
      <w:r>
        <w:rPr>
          <w:rFonts w:ascii="times new roman" w:hAnsi="times new roman"/>
          <w:sz w:val="20"/>
          <w:u w:val="single"/>
        </w:rPr>
        <w:t>should</w:t>
      </w:r>
      <w:r>
        <w:rPr>
          <w:rFonts w:ascii="times new roman" w:hAnsi="times new roman"/>
          <w:sz w:val="20"/>
        </w:rPr>
        <w:t>,” “</w:t>
      </w:r>
      <w:r>
        <w:rPr>
          <w:rFonts w:ascii="times new roman" w:hAnsi="times new roman"/>
          <w:sz w:val="20"/>
          <w:u w:val="single"/>
        </w:rPr>
        <w:t>confident</w:t>
      </w:r>
      <w:r>
        <w:rPr>
          <w:rFonts w:ascii="times new roman" w:hAnsi="times new roman"/>
          <w:sz w:val="20"/>
        </w:rPr>
        <w:t>,” “</w:t>
      </w:r>
      <w:r>
        <w:rPr>
          <w:rFonts w:ascii="times new roman" w:hAnsi="times new roman"/>
          <w:sz w:val="20"/>
          <w:u w:val="single"/>
        </w:rPr>
        <w:t>could</w:t>
      </w:r>
      <w:r>
        <w:rPr>
          <w:rFonts w:ascii="times new roman" w:hAnsi="times new roman"/>
          <w:sz w:val="20"/>
        </w:rPr>
        <w:t>” and similar words and expressions, although some forward-looking statements may be expressed differently. You should be aware that our actual results could differ materially from those contained in the forward-looking statements. You should consider carefully the statements included in and incorporated by reference in this prospectus which describe factors that could cause our actual results to differ from those set forth in the forward-looking statements.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above statements are not the exclusive means of identifying forward-looking statements herein. Although forward-looking statements contained or incorporated by reference in this prospectus reflect our good faith judgment, such statements can only be based on facts and factors currently known to us. Consequently, forward-looking statements are inherently subject to risks and uncertainties and actual outcomes may differ materially from the results and outcomes discussed in the forward-looking statements.</w:t>
      </w:r>
    </w:p>
    <w:p>
      <w:pPr>
        <w:pStyle w:val="TextBody"/>
        <w:bidi w:val="0"/>
        <w:spacing w:before="0" w:after="0"/>
        <w:ind w:left="0" w:right="0" w:hanging="0"/>
        <w:jc w:val="both"/>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Forward-looking statements speak only as of the date of this prospectus or the date of any document incorporated by reference in this prospectus, and any prospectus supplement and the documents incorporated therein, as applicable. Except to the extent required by applicable law or regulation, we do not undertake any obligation to update forward-looking statements to reflect events or circumstances after the date of this prospectus, or any prospectus supplement, or to reflect the occurrence of unanticipated events.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should also consider carefully the statements under, and incorporated by reference into, “Risk Factors” and other sections of this prospectus, and the documents we incorporate by reference, and any prospectus supplement and the documents incorporated therein, which address additional facts that could cause our actual results to differ from those set forth in the forward-looking statements. We caution investors not to place significant reliance on the forward-looking statements contained in this prospectus, and the documents we incorporate by reference, or any prospectus supplement and the documents incorporated therein. We undertake no obligation to publicly update or review any forward-looking statements, whether as a result of new information, future developments or otherwise, except as otherwise required by law.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should read this prospectus and the documents that we reference in this prospectus, and any prospectus supplement and the documents incorporated therein, and those documents we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8" w:name="USEOFPROCEEDS"/>
      <w:bookmarkEnd w:id="8"/>
      <w:r>
        <w:rPr>
          <w:rStyle w:val="StrongEmphasis"/>
          <w:rFonts w:ascii="times new roman" w:hAnsi="times new roman"/>
          <w:sz w:val="20"/>
        </w:rPr>
        <w:t>USE OF PROCEEDS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will not receive any proceeds from the sale of the shares of our common stock by the selling stockholders from time to time pursuant to this prospectus. The proceeds from the offering are solely for the account of the selling stockholders.</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9" w:name="SELLINGSTOCKHOLDERS"/>
      <w:bookmarkEnd w:id="9"/>
      <w:r>
        <w:rPr>
          <w:rStyle w:val="StrongEmphasis"/>
          <w:rFonts w:ascii="times new roman" w:hAnsi="times new roman"/>
          <w:sz w:val="20"/>
        </w:rPr>
        <w:t>SELLING STOCKHOLDERS</w:t>
      </w:r>
    </w:p>
    <w:p>
      <w:pPr>
        <w:pStyle w:val="TextBody"/>
        <w:bidi w:val="0"/>
        <w:spacing w:before="0" w:after="0"/>
        <w:ind w:left="0" w:right="0" w:hanging="0"/>
        <w:jc w:val="center"/>
        <w:rPr/>
      </w:pPr>
      <w:r>
        <w:rPr/>
        <w:t> </w:t>
      </w:r>
    </w:p>
    <w:p>
      <w:pPr>
        <w:pStyle w:val="TextBody"/>
        <w:bidi w:val="0"/>
        <w:spacing w:before="0" w:after="0"/>
        <w:ind w:left="0" w:right="0" w:firstLine="720"/>
        <w:jc w:val="both"/>
        <w:rPr/>
      </w:pPr>
      <w:r>
        <w:rPr>
          <w:rFonts w:ascii="times new roman" w:hAnsi="times new roman"/>
          <w:sz w:val="20"/>
        </w:rPr>
        <w:t>The shares of common stock being offered by the selling stockholders are those previously issued to the selling stockholders pursuant to the agreements discussed in greater detail above under “</w:t>
      </w:r>
      <w:r>
        <w:rPr>
          <w:rStyle w:val="Emphasis"/>
          <w:rFonts w:ascii="times new roman" w:hAnsi="times new roman"/>
          <w:sz w:val="20"/>
          <w:u w:val="single"/>
        </w:rPr>
        <w:t>Prospectus Summary—Merger Agreement; —PIPE Offering</w:t>
      </w:r>
      <w:r>
        <w:rPr>
          <w:rStyle w:val="Emphasis"/>
          <w:rFonts w:ascii="times new roman" w:hAnsi="times new roman"/>
          <w:sz w:val="20"/>
        </w:rPr>
        <w:t>; and </w:t>
      </w:r>
      <w:r>
        <w:rPr>
          <w:rStyle w:val="Emphasis"/>
          <w:rFonts w:ascii="times new roman" w:hAnsi="times new roman"/>
          <w:sz w:val="20"/>
          <w:u w:val="single"/>
        </w:rPr>
        <w:t>—</w:t>
      </w:r>
      <w:r>
        <w:rPr>
          <w:rStyle w:val="Emphasis"/>
          <w:rFonts w:ascii="times new roman" w:hAnsi="times new roman"/>
          <w:sz w:val="20"/>
        </w:rPr>
        <w:t xml:space="preserve"> </w:t>
      </w:r>
      <w:r>
        <w:rPr>
          <w:rStyle w:val="Emphasis"/>
          <w:rFonts w:ascii="times new roman" w:hAnsi="times new roman"/>
          <w:sz w:val="20"/>
          <w:u w:val="single"/>
        </w:rPr>
        <w:t>Dr. Simon Kukes 2018/2019 Funding Transactions</w:t>
      </w:r>
      <w:r>
        <w:rPr>
          <w:rFonts w:ascii="times new roman" w:hAnsi="times new roman"/>
          <w:sz w:val="20"/>
        </w:rPr>
        <w:t>”. We are registering the shares of common stock in order to permit the selling stockholders and any of their pledgees, assignees and successors-in-interest that may be identified in a supplement to this prospectus or, if required, a post-effective amendment to the registration statement of which this prospectus is a part, to resell or otherwise dispose of such shares of common stock in the manner contemplated under the section entitled “</w:t>
      </w:r>
      <w:r>
        <w:rPr>
          <w:rFonts w:ascii="times new roman" w:hAnsi="times new roman"/>
          <w:sz w:val="20"/>
          <w:u w:val="single"/>
        </w:rPr>
        <w:t>Plan of Distribution</w:t>
      </w:r>
      <w:r>
        <w:rPr>
          <w:rFonts w:ascii="times new roman" w:hAnsi="times new roman"/>
          <w:sz w:val="20"/>
        </w:rPr>
        <w:t>” in this prospectus (as may be supplemented and amended).</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prepared this table based on information furnished to us by or on behalf of the selling stockholders. Under the rules of the SEC, beneficial ownership includes shares over which the indicated beneficial owner exercises voting or investment power. Beneficial ownership is determined under Section 13(d) of the Exchange Act, and generally includes voting or investment power with respect to securities, including any securities that grant the selling stockholders the right to acquire common stock within 60 days of August 24, 2026 (the “</w:t>
      </w:r>
      <w:r>
        <w:rPr>
          <w:rFonts w:ascii="times new roman" w:hAnsi="times new roman"/>
          <w:sz w:val="20"/>
          <w:u w:val="single"/>
        </w:rPr>
        <w:t>Date of Determination</w:t>
      </w:r>
      <w:r>
        <w:rPr>
          <w:rFonts w:ascii="times new roman" w:hAnsi="times new roman"/>
          <w:sz w:val="20"/>
        </w:rPr>
        <w:t>”). We believe that the selling stockholders have sole voting and investment power with respect to all shares beneficially owned. To our knowledge, none of the selling stockholders are affiliated with a broker-dealer registered under the Exchange Act, except to the extent set forth in the footnotes below.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shares may be sold by the selling stockholders, by those persons or entities to whom they transfer, donate, devise, pledge or distribute shares or by other successors in interest. The information regarding shares beneficially owned after this offering assumes the sale of all shares offered by the selling stockholders in this prospectus. The selling stockholders may sell less than all of the shares listed in the table. In addition, the shares listed below may be sold pursuant to this prospectus or in privately negotiated transactions. Accordingly, we cannot estimate the number of shares the selling stockholders will sell under this prospectus.</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Neither the selling stockholders, nor any persons having control over the selling stockholders, have held any position or office with us or our affiliates within the last three years or have had a material relationship with us or any of our predecessors or affiliates within the past three years, other than as a result of the ownership of our shares, except as set forth in the footnotes below.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table below lists the selling stockholders and other information regarding the beneficial ownership of the shares of common stock by each of the selling stockholders. Our knowledge is based on information provided by the selling stockholders as of the Date of Determination.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may have sold, transferred or otherwise disposed of some or all of the shares of our common stock listed below in exempt or registered transactions since the date on which the information below was provided to us and may in the future sell, transfer or otherwise dispose of some or all of the shares in private placement transactions exempt from, or not subject to the registration requirements of, the Securities Act. We have assumed for purposes of the table below that the selling stockholders will sell all of the common stock being offered hereby pursuant to this prospectus.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Information about the selling stockholders may change from time to time, including by addition of additional selling stockholders, and if necessary, we will supplement this prospectus accordingly.</w:t>
      </w:r>
    </w:p>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077"/>
        <w:gridCol w:w="90"/>
        <w:gridCol w:w="90"/>
        <w:gridCol w:w="1020"/>
        <w:gridCol w:w="90"/>
        <w:gridCol w:w="90"/>
        <w:gridCol w:w="164"/>
        <w:gridCol w:w="865"/>
        <w:gridCol w:w="245"/>
        <w:gridCol w:w="90"/>
        <w:gridCol w:w="90"/>
        <w:gridCol w:w="1130"/>
        <w:gridCol w:w="305"/>
        <w:gridCol w:w="90"/>
        <w:gridCol w:w="106"/>
        <w:gridCol w:w="990"/>
        <w:gridCol w:w="106"/>
        <w:gridCol w:w="106"/>
        <w:gridCol w:w="236"/>
        <w:gridCol w:w="926"/>
        <w:gridCol w:w="299"/>
      </w:tblGrid>
      <w:tr>
        <w:trPr/>
        <w:tc>
          <w:tcPr>
            <w:tcW w:w="3077"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319" w:type="dxa"/>
            <w:gridSpan w:val="6"/>
            <w:tcBorders/>
            <w:vAlign w:val="center"/>
          </w:tcPr>
          <w:p>
            <w:pPr>
              <w:pStyle w:val="TableContents"/>
              <w:bidi w:val="0"/>
              <w:spacing w:before="0" w:after="0"/>
              <w:ind w:left="0" w:right="0" w:hanging="0"/>
              <w:jc w:val="center"/>
              <w:rPr/>
            </w:pPr>
            <w:r>
              <w:rPr>
                <w:rStyle w:val="StrongEmphasis"/>
                <w:rFonts w:ascii="times new roman" w:hAnsi="times new roman"/>
                <w:sz w:val="20"/>
              </w:rPr>
              <w:t>Beneficial Ownership</w:t>
            </w:r>
          </w:p>
        </w:tc>
        <w:tc>
          <w:tcPr>
            <w:tcW w:w="2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Maximum</w:t>
            </w:r>
          </w:p>
        </w:tc>
        <w:tc>
          <w:tcPr>
            <w:tcW w:w="3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470" w:type="dxa"/>
            <w:gridSpan w:val="6"/>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Beneficial Ownership </w:t>
            </w:r>
          </w:p>
        </w:tc>
        <w:tc>
          <w:tcPr>
            <w:tcW w:w="299" w:type="dxa"/>
            <w:tcBorders/>
            <w:vAlign w:val="center"/>
          </w:tcPr>
          <w:p>
            <w:pPr>
              <w:pStyle w:val="TableContents"/>
              <w:bidi w:val="0"/>
              <w:spacing w:before="0" w:after="0"/>
              <w:ind w:left="0" w:right="0" w:hanging="0"/>
              <w:jc w:val="left"/>
              <w:rPr/>
            </w:pPr>
            <w:r>
              <w:rPr/>
              <w:t> </w:t>
            </w:r>
          </w:p>
        </w:tc>
      </w:tr>
      <w:tr>
        <w:trPr/>
        <w:tc>
          <w:tcPr>
            <w:tcW w:w="3077"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319"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Before Offering</w:t>
            </w:r>
          </w:p>
        </w:tc>
        <w:tc>
          <w:tcPr>
            <w:tcW w:w="2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Number of</w:t>
            </w:r>
          </w:p>
        </w:tc>
        <w:tc>
          <w:tcPr>
            <w:tcW w:w="3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47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After Offering(2)</w:t>
            </w:r>
          </w:p>
        </w:tc>
        <w:tc>
          <w:tcPr>
            <w:tcW w:w="299" w:type="dxa"/>
            <w:tcBorders/>
            <w:vAlign w:val="center"/>
          </w:tcPr>
          <w:p>
            <w:pPr>
              <w:pStyle w:val="TableContents"/>
              <w:bidi w:val="0"/>
              <w:spacing w:before="0" w:after="0"/>
              <w:ind w:left="0" w:right="0" w:hanging="0"/>
              <w:jc w:val="left"/>
              <w:rPr/>
            </w:pPr>
            <w:r>
              <w:rPr/>
              <w:t> </w:t>
            </w:r>
          </w:p>
        </w:tc>
      </w:tr>
      <w:tr>
        <w:trPr/>
        <w:tc>
          <w:tcPr>
            <w:tcW w:w="307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0"/>
              <w:ind w:left="0" w:right="0" w:hanging="0"/>
              <w:jc w:val="left"/>
              <w:rPr/>
            </w:pPr>
            <w:r>
              <w:rPr/>
              <w:t> </w:t>
            </w:r>
          </w:p>
        </w:tc>
        <w:tc>
          <w:tcPr>
            <w:tcW w:w="111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Number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29"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Percentage </w:t>
            </w:r>
          </w:p>
        </w:tc>
        <w:tc>
          <w:tcPr>
            <w:tcW w:w="2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3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Number of</w:t>
            </w:r>
          </w:p>
        </w:tc>
        <w:tc>
          <w:tcPr>
            <w:tcW w:w="106" w:type="dxa"/>
            <w:tcBorders/>
            <w:vAlign w:val="center"/>
          </w:tcPr>
          <w:p>
            <w:pPr>
              <w:pStyle w:val="TableContents"/>
              <w:bidi w:val="0"/>
              <w:spacing w:before="0" w:after="0"/>
              <w:ind w:left="0" w:right="0" w:hanging="0"/>
              <w:jc w:val="left"/>
              <w:rPr/>
            </w:pPr>
            <w:r>
              <w:rPr/>
              <w:t> </w:t>
            </w:r>
          </w:p>
        </w:tc>
        <w:tc>
          <w:tcPr>
            <w:tcW w:w="106" w:type="dxa"/>
            <w:tcBorders/>
            <w:vAlign w:val="center"/>
          </w:tcPr>
          <w:p>
            <w:pPr>
              <w:pStyle w:val="TableContents"/>
              <w:bidi w:val="0"/>
              <w:spacing w:before="0" w:after="0"/>
              <w:ind w:left="0" w:right="0" w:hanging="0"/>
              <w:jc w:val="left"/>
              <w:rPr/>
            </w:pPr>
            <w:r>
              <w:rPr/>
              <w:t> </w:t>
            </w:r>
          </w:p>
        </w:tc>
        <w:tc>
          <w:tcPr>
            <w:tcW w:w="1162"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Percentage of</w:t>
            </w:r>
          </w:p>
        </w:tc>
        <w:tc>
          <w:tcPr>
            <w:tcW w:w="299" w:type="dxa"/>
            <w:tcBorders/>
            <w:vAlign w:val="center"/>
          </w:tcPr>
          <w:p>
            <w:pPr>
              <w:pStyle w:val="TableContents"/>
              <w:bidi w:val="0"/>
              <w:spacing w:before="0" w:after="0"/>
              <w:ind w:left="0" w:right="0" w:hanging="0"/>
              <w:jc w:val="left"/>
              <w:rPr/>
            </w:pPr>
            <w:r>
              <w:rPr/>
              <w:t> </w:t>
            </w:r>
          </w:p>
        </w:tc>
      </w:tr>
      <w:tr>
        <w:trPr/>
        <w:tc>
          <w:tcPr>
            <w:tcW w:w="3077"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Name</w:t>
            </w:r>
          </w:p>
        </w:tc>
        <w:tc>
          <w:tcPr>
            <w:tcW w:w="90"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of Shares(1)</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of Shares</w:t>
            </w:r>
          </w:p>
        </w:tc>
        <w:tc>
          <w:tcPr>
            <w:tcW w:w="2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Offered(1)</w:t>
            </w:r>
          </w:p>
        </w:tc>
        <w:tc>
          <w:tcPr>
            <w:tcW w:w="3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106" w:type="dxa"/>
            <w:tcBorders/>
            <w:vAlign w:val="center"/>
          </w:tcPr>
          <w:p>
            <w:pPr>
              <w:pStyle w:val="TableContents"/>
              <w:bidi w:val="0"/>
              <w:spacing w:before="0" w:after="0"/>
              <w:ind w:left="0" w:right="0" w:hanging="0"/>
              <w:jc w:val="left"/>
              <w:rPr/>
            </w:pPr>
            <w:r>
              <w:rPr/>
              <w:t> </w:t>
            </w:r>
          </w:p>
        </w:tc>
        <w:tc>
          <w:tcPr>
            <w:tcW w:w="106" w:type="dxa"/>
            <w:tcBorders/>
            <w:vAlign w:val="center"/>
          </w:tcPr>
          <w:p>
            <w:pPr>
              <w:pStyle w:val="TableContents"/>
              <w:bidi w:val="0"/>
              <w:spacing w:before="0" w:after="0"/>
              <w:ind w:left="0" w:right="0" w:hanging="0"/>
              <w:jc w:val="left"/>
              <w:rPr/>
            </w:pPr>
            <w:r>
              <w:rPr/>
              <w:t> </w:t>
            </w:r>
          </w:p>
        </w:tc>
        <w:tc>
          <w:tcPr>
            <w:tcW w:w="1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299" w:type="dxa"/>
            <w:tcBorders/>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American Resources Inc. (3)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22,727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22,727</w:t>
            </w:r>
          </w:p>
        </w:tc>
        <w:tc>
          <w:tcPr>
            <w:tcW w:w="305" w:type="dxa"/>
            <w:tcBorders/>
            <w:shd w:fill="CCEEFF" w:val="clear"/>
            <w:vAlign w:val="center"/>
          </w:tcPr>
          <w:p>
            <w:pPr>
              <w:pStyle w:val="TableContents"/>
              <w:bidi w:val="0"/>
              <w:spacing w:before="0" w:after="283"/>
              <w:jc w:val="left"/>
              <w:rPr/>
            </w:pPr>
            <w:r>
              <w:rPr/>
              <w:t>(a)</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Andrea Polasek (4)^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798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9"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798</w:t>
            </w:r>
          </w:p>
        </w:tc>
        <w:tc>
          <w:tcPr>
            <w:tcW w:w="305" w:type="dxa"/>
            <w:tcBorders/>
            <w:shd w:fill="FFFFFF" w:val="clear"/>
            <w:vAlign w:val="center"/>
          </w:tcPr>
          <w:p>
            <w:pPr>
              <w:pStyle w:val="TableContents"/>
              <w:bidi w:val="0"/>
              <w:spacing w:before="0" w:after="283"/>
              <w:jc w:val="left"/>
              <w:rPr/>
            </w:pPr>
            <w:r>
              <w:rPr/>
              <w:t>(b)</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283"/>
              <w:jc w:val="right"/>
              <w:rPr/>
            </w:pPr>
            <w:r>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Arvind Krishna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12,548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3,636</w:t>
            </w:r>
          </w:p>
        </w:tc>
        <w:tc>
          <w:tcPr>
            <w:tcW w:w="305" w:type="dxa"/>
            <w:tcBorders/>
            <w:shd w:fill="CCEEFF" w:val="clear"/>
            <w:vAlign w:val="center"/>
          </w:tcPr>
          <w:p>
            <w:pPr>
              <w:pStyle w:val="TableContents"/>
              <w:bidi w:val="0"/>
              <w:spacing w:before="0" w:after="283"/>
              <w:jc w:val="left"/>
              <w:rPr/>
            </w:pPr>
            <w:r>
              <w:rPr/>
              <w:t>(a)</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8,912</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1162"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Boomtown Oil II, LLC (5)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7,730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9"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7,730</w:t>
            </w:r>
          </w:p>
        </w:tc>
        <w:tc>
          <w:tcPr>
            <w:tcW w:w="305" w:type="dxa"/>
            <w:tcBorders/>
            <w:shd w:fill="FFFFFF" w:val="clear"/>
            <w:vAlign w:val="center"/>
          </w:tcPr>
          <w:p>
            <w:pPr>
              <w:pStyle w:val="TableContents"/>
              <w:bidi w:val="0"/>
              <w:spacing w:before="0" w:after="283"/>
              <w:jc w:val="left"/>
              <w:rPr/>
            </w:pPr>
            <w:r>
              <w:rPr/>
              <w:t>(b)</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283"/>
              <w:jc w:val="right"/>
              <w:rPr/>
            </w:pPr>
            <w:r>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Dalene J. Ruby (4)^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2,396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2,396</w:t>
            </w:r>
          </w:p>
        </w:tc>
        <w:tc>
          <w:tcPr>
            <w:tcW w:w="305" w:type="dxa"/>
            <w:tcBorders/>
            <w:shd w:fill="CCEEFF" w:val="clear"/>
            <w:vAlign w:val="center"/>
          </w:tcPr>
          <w:p>
            <w:pPr>
              <w:pStyle w:val="TableContents"/>
              <w:bidi w:val="0"/>
              <w:spacing w:before="0" w:after="283"/>
              <w:jc w:val="left"/>
              <w:rPr/>
            </w:pPr>
            <w:r>
              <w:rPr/>
              <w:t>(b)</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 PED, LLC (6)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1,691,216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65" w:type="dxa"/>
            <w:tcBorders/>
            <w:shd w:fill="FFFFFF" w:val="clear"/>
            <w:vAlign w:val="center"/>
          </w:tcPr>
          <w:p>
            <w:pPr>
              <w:pStyle w:val="TableContents"/>
              <w:bidi w:val="0"/>
              <w:spacing w:before="0" w:after="283"/>
              <w:jc w:val="right"/>
              <w:rPr/>
            </w:pPr>
            <w:r>
              <w:rPr/>
              <w:t>12.7</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1,686,364</w:t>
            </w:r>
          </w:p>
        </w:tc>
        <w:tc>
          <w:tcPr>
            <w:tcW w:w="305" w:type="dxa"/>
            <w:tcBorders/>
            <w:shd w:fill="FFFFFF" w:val="clear"/>
            <w:vAlign w:val="center"/>
          </w:tcPr>
          <w:p>
            <w:pPr>
              <w:pStyle w:val="TableContents"/>
              <w:bidi w:val="0"/>
              <w:spacing w:before="0" w:after="283"/>
              <w:jc w:val="left"/>
              <w:rPr/>
            </w:pPr>
            <w:r>
              <w:rPr/>
              <w:t>(c)</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4,852</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1162"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Jessica A. Brocato (4)^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4,792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4,792</w:t>
            </w:r>
          </w:p>
        </w:tc>
        <w:tc>
          <w:tcPr>
            <w:tcW w:w="305" w:type="dxa"/>
            <w:tcBorders/>
            <w:shd w:fill="CCEEFF" w:val="clear"/>
            <w:vAlign w:val="center"/>
          </w:tcPr>
          <w:p>
            <w:pPr>
              <w:pStyle w:val="TableContents"/>
              <w:bidi w:val="0"/>
              <w:spacing w:before="0" w:after="283"/>
              <w:jc w:val="left"/>
              <w:rPr/>
            </w:pPr>
            <w:r>
              <w:rPr/>
              <w:t>(b)</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Jody D. Crook (7)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36,916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9"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2,273</w:t>
            </w:r>
          </w:p>
        </w:tc>
        <w:tc>
          <w:tcPr>
            <w:tcW w:w="305" w:type="dxa"/>
            <w:tcBorders/>
            <w:shd w:fill="FFFFFF" w:val="clear"/>
            <w:vAlign w:val="center"/>
          </w:tcPr>
          <w:p>
            <w:pPr>
              <w:pStyle w:val="TableContents"/>
              <w:bidi w:val="0"/>
              <w:spacing w:before="0" w:after="283"/>
              <w:jc w:val="left"/>
              <w:rPr/>
            </w:pPr>
            <w:r>
              <w:rPr/>
              <w:t>(a)</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34,643</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1162"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Juniper Capital II PED Holdings, LLC (6)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1,606,738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283"/>
              <w:jc w:val="right"/>
              <w:rPr/>
            </w:pPr>
            <w:r>
              <w:rPr/>
              <w:t>12.1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1,602,127</w:t>
            </w:r>
          </w:p>
        </w:tc>
        <w:tc>
          <w:tcPr>
            <w:tcW w:w="305" w:type="dxa"/>
            <w:tcBorders/>
            <w:shd w:fill="CCEEFF" w:val="clear"/>
            <w:vAlign w:val="center"/>
          </w:tcPr>
          <w:p>
            <w:pPr>
              <w:pStyle w:val="TableContents"/>
              <w:bidi w:val="0"/>
              <w:spacing w:before="0" w:after="283"/>
              <w:jc w:val="left"/>
              <w:rPr/>
            </w:pPr>
            <w:r>
              <w:rPr/>
              <w:t>(d)</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4,611</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1162"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Juniper Capital III PED Holdings, LLC (6)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3,140,969</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65" w:type="dxa"/>
            <w:tcBorders/>
            <w:shd w:fill="FFFFFF" w:val="clear"/>
            <w:vAlign w:val="center"/>
          </w:tcPr>
          <w:p>
            <w:pPr>
              <w:pStyle w:val="TableContents"/>
              <w:bidi w:val="0"/>
              <w:spacing w:before="0" w:after="283"/>
              <w:jc w:val="right"/>
              <w:rPr/>
            </w:pPr>
            <w:r>
              <w:rPr/>
              <w:t>23.6</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3,131,955</w:t>
            </w:r>
          </w:p>
        </w:tc>
        <w:tc>
          <w:tcPr>
            <w:tcW w:w="305" w:type="dxa"/>
            <w:tcBorders/>
            <w:shd w:fill="FFFFFF" w:val="clear"/>
            <w:vAlign w:val="center"/>
          </w:tcPr>
          <w:p>
            <w:pPr>
              <w:pStyle w:val="TableContents"/>
              <w:bidi w:val="0"/>
              <w:spacing w:before="0" w:after="283"/>
              <w:jc w:val="left"/>
              <w:rPr/>
            </w:pPr>
            <w:r>
              <w:rPr/>
              <w:t>(d)</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9,014</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1162"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Kandi Lynn Ossa (4)^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3,195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3,195</w:t>
            </w:r>
          </w:p>
        </w:tc>
        <w:tc>
          <w:tcPr>
            <w:tcW w:w="305" w:type="dxa"/>
            <w:tcBorders/>
            <w:shd w:fill="CCEEFF" w:val="clear"/>
            <w:vAlign w:val="center"/>
          </w:tcPr>
          <w:p>
            <w:pPr>
              <w:pStyle w:val="TableContents"/>
              <w:bidi w:val="0"/>
              <w:spacing w:before="0" w:after="283"/>
              <w:jc w:val="left"/>
              <w:rPr/>
            </w:pPr>
            <w:r>
              <w:rPr/>
              <w:t>(b)</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Lauri M. Stanfield (4)^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798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9"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798</w:t>
            </w:r>
          </w:p>
        </w:tc>
        <w:tc>
          <w:tcPr>
            <w:tcW w:w="305" w:type="dxa"/>
            <w:tcBorders/>
            <w:shd w:fill="FFFFFF" w:val="clear"/>
            <w:vAlign w:val="center"/>
          </w:tcPr>
          <w:p>
            <w:pPr>
              <w:pStyle w:val="TableContents"/>
              <w:bidi w:val="0"/>
              <w:spacing w:before="0" w:after="283"/>
              <w:jc w:val="left"/>
              <w:rPr/>
            </w:pPr>
            <w:r>
              <w:rPr/>
              <w:t>(b)</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283"/>
              <w:jc w:val="right"/>
              <w:rPr/>
            </w:pPr>
            <w:r>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Nolan J. Olson (4)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15,053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15,053</w:t>
            </w:r>
          </w:p>
        </w:tc>
        <w:tc>
          <w:tcPr>
            <w:tcW w:w="305" w:type="dxa"/>
            <w:tcBorders/>
            <w:shd w:fill="CCEEFF" w:val="clear"/>
            <w:vAlign w:val="center"/>
          </w:tcPr>
          <w:p>
            <w:pPr>
              <w:pStyle w:val="TableContents"/>
              <w:bidi w:val="0"/>
              <w:spacing w:before="0" w:after="283"/>
              <w:jc w:val="left"/>
              <w:rPr/>
            </w:pPr>
            <w:r>
              <w:rPr/>
              <w:t>(b)</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North Peak Partners PED Holdings, LLC (6)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303,272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65" w:type="dxa"/>
            <w:tcBorders/>
            <w:shd w:fill="FFFFFF" w:val="clear"/>
            <w:vAlign w:val="center"/>
          </w:tcPr>
          <w:p>
            <w:pPr>
              <w:pStyle w:val="TableContents"/>
              <w:bidi w:val="0"/>
              <w:spacing w:before="0" w:after="283"/>
              <w:jc w:val="right"/>
              <w:rPr/>
            </w:pPr>
            <w:r>
              <w:rPr/>
              <w:t>2.3</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302,403</w:t>
            </w:r>
          </w:p>
        </w:tc>
        <w:tc>
          <w:tcPr>
            <w:tcW w:w="305" w:type="dxa"/>
            <w:tcBorders/>
            <w:shd w:fill="FFFFFF" w:val="clear"/>
            <w:vAlign w:val="center"/>
          </w:tcPr>
          <w:p>
            <w:pPr>
              <w:pStyle w:val="TableContents"/>
              <w:bidi w:val="0"/>
              <w:spacing w:before="0" w:after="283"/>
              <w:jc w:val="left"/>
              <w:rPr/>
            </w:pPr>
            <w:r>
              <w:rPr/>
              <w:t>(d)</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869</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1162"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NPR Partners PED Holdings, LLC (6)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119,369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119,028</w:t>
            </w:r>
          </w:p>
        </w:tc>
        <w:tc>
          <w:tcPr>
            <w:tcW w:w="305" w:type="dxa"/>
            <w:tcBorders/>
            <w:shd w:fill="CCEEFF" w:val="clear"/>
            <w:vAlign w:val="center"/>
          </w:tcPr>
          <w:p>
            <w:pPr>
              <w:pStyle w:val="TableContents"/>
              <w:bidi w:val="0"/>
              <w:spacing w:before="0" w:after="283"/>
              <w:jc w:val="left"/>
              <w:rPr/>
            </w:pPr>
            <w:r>
              <w:rPr/>
              <w:t>(d)</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341</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1162"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Reagan T. Dukes (8)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56,695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9"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56,695</w:t>
            </w:r>
          </w:p>
        </w:tc>
        <w:tc>
          <w:tcPr>
            <w:tcW w:w="305" w:type="dxa"/>
            <w:tcBorders/>
            <w:shd w:fill="FFFFFF" w:val="clear"/>
            <w:vAlign w:val="center"/>
          </w:tcPr>
          <w:p>
            <w:pPr>
              <w:pStyle w:val="TableContents"/>
              <w:bidi w:val="0"/>
              <w:spacing w:before="0" w:after="283"/>
              <w:jc w:val="left"/>
              <w:rPr/>
            </w:pPr>
            <w:r>
              <w:rPr/>
              <w:t>(e)</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283"/>
              <w:jc w:val="right"/>
              <w:rPr/>
            </w:pPr>
            <w:r>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Robert J. Long (9)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46,909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46,909</w:t>
            </w:r>
          </w:p>
        </w:tc>
        <w:tc>
          <w:tcPr>
            <w:tcW w:w="305" w:type="dxa"/>
            <w:tcBorders/>
            <w:shd w:fill="CCEEFF" w:val="clear"/>
            <w:vAlign w:val="center"/>
          </w:tcPr>
          <w:p>
            <w:pPr>
              <w:pStyle w:val="TableContents"/>
              <w:bidi w:val="0"/>
              <w:spacing w:before="0" w:after="283"/>
              <w:jc w:val="left"/>
              <w:rPr/>
            </w:pPr>
            <w:r>
              <w:rPr/>
              <w:t>(f)</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Russell W. Wilcox (4)^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3,195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9"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3,195</w:t>
            </w:r>
          </w:p>
        </w:tc>
        <w:tc>
          <w:tcPr>
            <w:tcW w:w="305" w:type="dxa"/>
            <w:tcBorders/>
            <w:shd w:fill="FFFFFF" w:val="clear"/>
            <w:vAlign w:val="center"/>
          </w:tcPr>
          <w:p>
            <w:pPr>
              <w:pStyle w:val="TableContents"/>
              <w:bidi w:val="0"/>
              <w:spacing w:before="0" w:after="283"/>
              <w:jc w:val="left"/>
              <w:rPr/>
            </w:pPr>
            <w:r>
              <w:rPr/>
              <w:t>(b)</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283"/>
              <w:jc w:val="right"/>
              <w:rPr/>
            </w:pPr>
            <w:r>
              <w:rPr/>
              <w:t>—</w:t>
            </w:r>
          </w:p>
        </w:tc>
        <w:tc>
          <w:tcPr>
            <w:tcW w:w="299" w:type="dxa"/>
            <w:tcBorders/>
            <w:shd w:fill="FFFFFF" w:val="clear"/>
            <w:vAlign w:val="center"/>
          </w:tcPr>
          <w:p>
            <w:pPr>
              <w:pStyle w:val="TableContents"/>
              <w:bidi w:val="0"/>
              <w:spacing w:before="0" w:after="0"/>
              <w:ind w:left="0" w:right="0" w:hanging="0"/>
              <w:jc w:val="left"/>
              <w:rPr/>
            </w:pPr>
            <w:r>
              <w:rPr/>
              <w:t> </w:t>
            </w:r>
          </w:p>
        </w:tc>
      </w:tr>
      <w:tr>
        <w:trPr/>
        <w:tc>
          <w:tcPr>
            <w:tcW w:w="30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Ryan Leachman (10)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pPr>
            <w:r>
              <w:rPr/>
              <w:t>37,564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37,564</w:t>
            </w:r>
          </w:p>
        </w:tc>
        <w:tc>
          <w:tcPr>
            <w:tcW w:w="305" w:type="dxa"/>
            <w:tcBorders/>
            <w:shd w:fill="CCEEFF" w:val="clear"/>
            <w:vAlign w:val="center"/>
          </w:tcPr>
          <w:p>
            <w:pPr>
              <w:pStyle w:val="TableContents"/>
              <w:bidi w:val="0"/>
              <w:spacing w:before="0" w:after="283"/>
              <w:jc w:val="left"/>
              <w:rPr/>
            </w:pPr>
            <w:r>
              <w:rPr/>
              <w:t>(g)</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SGK 2018 Revocable Trust (11)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pPr>
            <w:r>
              <w:rPr/>
              <w:t>4,396,720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65" w:type="dxa"/>
            <w:tcBorders/>
            <w:shd w:fill="FFFFFF" w:val="clear"/>
            <w:vAlign w:val="center"/>
          </w:tcPr>
          <w:p>
            <w:pPr>
              <w:pStyle w:val="TableContents"/>
              <w:bidi w:val="0"/>
              <w:spacing w:before="0" w:after="283"/>
              <w:jc w:val="right"/>
              <w:rPr/>
            </w:pPr>
            <w:r>
              <w:rPr/>
              <w:t>33.1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3,990,473</w:t>
            </w:r>
          </w:p>
        </w:tc>
        <w:tc>
          <w:tcPr>
            <w:tcW w:w="305" w:type="dxa"/>
            <w:tcBorders/>
            <w:shd w:fill="FFFFFF" w:val="clear"/>
            <w:vAlign w:val="center"/>
          </w:tcPr>
          <w:p>
            <w:pPr>
              <w:pStyle w:val="TableContents"/>
              <w:bidi w:val="0"/>
              <w:spacing w:before="0" w:after="283"/>
              <w:jc w:val="left"/>
              <w:rPr/>
            </w:pPr>
            <w:r>
              <w:rPr/>
              <w:t>(h)</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406,247</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283"/>
              <w:jc w:val="right"/>
              <w:rPr/>
            </w:pPr>
            <w:r>
              <w:rPr/>
              <w:t>3.1</w:t>
            </w:r>
          </w:p>
        </w:tc>
        <w:tc>
          <w:tcPr>
            <w:tcW w:w="299" w:type="dxa"/>
            <w:tcBorders/>
            <w:shd w:fill="FFFFFF" w:val="clear"/>
            <w:vAlign w:val="center"/>
          </w:tcPr>
          <w:p>
            <w:pPr>
              <w:pStyle w:val="TableContents"/>
              <w:bidi w:val="0"/>
              <w:spacing w:before="0" w:after="283"/>
              <w:jc w:val="left"/>
              <w:rPr/>
            </w:pPr>
            <w:r>
              <w:rPr/>
              <w:t>%</w:t>
            </w:r>
          </w:p>
        </w:tc>
      </w:tr>
      <w:tr>
        <w:trPr/>
        <w:tc>
          <w:tcPr>
            <w:tcW w:w="30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William Henry Popejoy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jc w:val="right"/>
              <w:rPr/>
            </w:pPr>
            <w:r>
              <w:rPr/>
              <w:t>798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2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798</w:t>
            </w:r>
          </w:p>
        </w:tc>
        <w:tc>
          <w:tcPr>
            <w:tcW w:w="305" w:type="dxa"/>
            <w:tcBorders/>
            <w:shd w:fill="CCEEFF" w:val="clear"/>
            <w:vAlign w:val="center"/>
          </w:tcPr>
          <w:p>
            <w:pPr>
              <w:pStyle w:val="TableContents"/>
              <w:bidi w:val="0"/>
              <w:spacing w:before="0" w:after="283"/>
              <w:jc w:val="left"/>
              <w:rPr/>
            </w:pPr>
            <w:r>
              <w:rPr/>
              <w:t>(b)</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299" w:type="dxa"/>
            <w:tcBorders/>
            <w:shd w:fill="CCEEFF" w:val="clear"/>
            <w:vAlign w:val="center"/>
          </w:tcPr>
          <w:p>
            <w:pPr>
              <w:pStyle w:val="TableContents"/>
              <w:bidi w:val="0"/>
              <w:spacing w:before="0" w:after="0"/>
              <w:ind w:left="0" w:right="0" w:hanging="0"/>
              <w:jc w:val="left"/>
              <w:rPr/>
            </w:pPr>
            <w:r>
              <w:rPr/>
              <w:t> </w:t>
            </w:r>
          </w:p>
        </w:tc>
      </w:tr>
      <w:tr>
        <w:trPr/>
        <w:tc>
          <w:tcPr>
            <w:tcW w:w="3077"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65"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rStyle w:val="StrongEmphasis"/>
              </w:rPr>
              <w:t>11,040,909</w:t>
            </w:r>
          </w:p>
        </w:tc>
        <w:tc>
          <w:tcPr>
            <w:tcW w:w="30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3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0"/>
              <w:ind w:left="0" w:right="0" w:hanging="0"/>
              <w:jc w:val="left"/>
              <w:rPr/>
            </w:pPr>
            <w:r>
              <w:rPr/>
              <w:t> </w:t>
            </w:r>
          </w:p>
        </w:tc>
        <w:tc>
          <w:tcPr>
            <w:tcW w:w="299"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left"/>
        <w:rPr>
          <w:rFonts w:ascii="times new roman" w:hAnsi="times new roman"/>
          <w:sz w:val="20"/>
        </w:rPr>
      </w:pPr>
      <w:r>
        <w:rPr>
          <w:rFonts w:ascii="times new roman" w:hAnsi="times new roman"/>
          <w:sz w:val="20"/>
        </w:rPr>
        <w:t>*Less than 1%.</w:t>
      </w:r>
    </w:p>
    <w:p>
      <w:pPr>
        <w:pStyle w:val="TextBody"/>
        <w:bidi w:val="0"/>
        <w:spacing w:before="0" w:after="0"/>
        <w:ind w:left="0" w:right="0" w:hanging="0"/>
        <w:jc w:val="left"/>
        <w:rPr>
          <w:rFonts w:ascii="times new roman" w:hAnsi="times new roman"/>
          <w:sz w:val="20"/>
        </w:rPr>
      </w:pPr>
      <w:r>
        <w:rPr>
          <w:rFonts w:ascii="times new roman" w:hAnsi="times new roman"/>
          <w:sz w:val="20"/>
        </w:rPr>
        <w:t>#  The amounts shown above do not include restricted stock units which do not vest, if at all, within 60 days of the Date of Determination.</w:t>
      </w:r>
    </w:p>
    <w:p>
      <w:pPr>
        <w:pStyle w:val="TextBody"/>
        <w:bidi w:val="0"/>
        <w:spacing w:before="0" w:after="0"/>
        <w:ind w:left="0" w:right="0" w:hanging="0"/>
        <w:jc w:val="left"/>
        <w:rPr>
          <w:rFonts w:ascii="times new roman" w:hAnsi="times new roman"/>
          <w:sz w:val="20"/>
        </w:rPr>
      </w:pPr>
      <w:r>
        <w:rPr>
          <w:rFonts w:ascii="times new roman" w:hAnsi="times new roman"/>
          <w:sz w:val="20"/>
        </w:rPr>
        <w:t>^ Current Company employee.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Applicable percentage ownership is based on 13,292,013 shares of our common stock outstanding as of the Date of Determination.</w:t>
            </w:r>
          </w:p>
        </w:tc>
      </w:tr>
      <w:tr>
        <w:trPr/>
        <w:tc>
          <w:tcPr>
            <w:tcW w:w="2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Represents the amount of shares that will be held by each Selling Stockholder after completion of this offering based on the assumptions that (a) all common stock registered for sale by the registration statement of which this prospectus forms a part will be sold and (b) no other shares of common stock are acquired or sold by such Selling Stockholder prior to completion of this offering. However, the Selling Stockholders may sell all, some or none of such shares offered pursuant to this prospectus and may sell other shares of common stock that they may own pursuant to another registration statement under the Securities Act or sell some or all of their shares pursuant to an exemption from the registration provisions of the Securities Act, including under Rule 144.</w:t>
            </w:r>
          </w:p>
        </w:tc>
      </w:tr>
      <w:tr>
        <w:trPr/>
        <w:tc>
          <w:tcPr>
            <w:tcW w:w="2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9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American Resources, Inc., is an entity owned and controlled by Mr. J. Douglas Schick, the Company's Chief Executive Officer (since January 2025), President (since August 2018) and Director (since January 2025). Ownership in the table above does not include any securities held by Mr. Schick personally which are not owned by American Resources, Inc.</w:t>
            </w:r>
          </w:p>
        </w:tc>
      </w:tr>
      <w:tr>
        <w:trPr/>
        <w:tc>
          <w:tcPr>
            <w:tcW w:w="2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9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Currently an employee of the Company. Previously was employed by Century Natural Resources, LLC, a privately held Houston, Texas-based oil and gas exploration and production company that previously managed the assets acquired by the Company in October 2025 pursuant to the Mergers.</w:t>
            </w:r>
          </w:p>
        </w:tc>
      </w:tr>
      <w:tr>
        <w:trPr/>
        <w:tc>
          <w:tcPr>
            <w:tcW w:w="2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99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shares held by Boomtown Oil II, LLC are beneficially owned by Sean Fitzgerald and Sara Konstantine, its Managers. Shares received from certain affiliates of Juniper pursuant to a pre-existing agreement with such affiliates.</w:t>
            </w:r>
          </w:p>
        </w:tc>
      </w:tr>
    </w:tbl>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w:t>
            </w:r>
          </w:p>
        </w:tc>
        <w:tc>
          <w:tcPr>
            <w:tcW w:w="9868" w:type="dxa"/>
            <w:tcBorders/>
            <w:vAlign w:val="center"/>
          </w:tcPr>
          <w:p>
            <w:pPr>
              <w:pStyle w:val="TableContents"/>
              <w:bidi w:val="0"/>
              <w:spacing w:before="0" w:after="283"/>
              <w:jc w:val="left"/>
              <w:rPr/>
            </w:pPr>
            <w:r>
              <w:rPr/>
              <w:t>Juniper Capital II PED Holdings, LLC, is wholly owned by Juniper Capital II, L.P. (“</w:t>
            </w:r>
            <w:r>
              <w:rPr>
                <w:u w:val="single"/>
              </w:rPr>
              <w:t>Fund II</w:t>
            </w:r>
            <w:r>
              <w:rPr/>
              <w:t>”); Juniper Capital III PED Holdings, LLC, is wholly owned by Juniper Capital III, L.P. (“</w:t>
            </w:r>
            <w:r>
              <w:rPr>
                <w:u w:val="single"/>
              </w:rPr>
              <w:t>Fund III</w:t>
            </w:r>
            <w:r>
              <w:rPr/>
              <w:t>”); NPR Partners PED Holdings, LLC, is wholly owned by Juniper NPR Partners, L.P. (“</w:t>
            </w:r>
            <w:r>
              <w:rPr>
                <w:u w:val="single"/>
              </w:rPr>
              <w:t>NPR Partners</w:t>
            </w:r>
            <w:r>
              <w:rPr/>
              <w:t>”); North Peak Partners PED Holdings, LLC, is wholly owned by Juniper North Peak Partners, L.P. (“</w:t>
            </w:r>
            <w:r>
              <w:rPr>
                <w:u w:val="single"/>
              </w:rPr>
              <w:t>North Peak Partners</w:t>
            </w:r>
            <w:r>
              <w:rPr/>
              <w:t>”); and J PED, LLC, is wholly owned by Juniper Capital IV, L.P. (“</w:t>
            </w:r>
            <w:r>
              <w:rPr>
                <w:u w:val="single"/>
              </w:rPr>
              <w:t>Fund IV</w:t>
            </w:r>
            <w:r>
              <w:rPr/>
              <w:t>”). The general partner of Fund II and NPR Partners, Juniper Capital II GP, L.P., has shared voting and dispositive power with respect to 1,726,107 shares of Company common stock; the general partner of Fund III, Juniper Capital III GP, L.P., has shared voting and dispositive power with respect to 3,140,969 shares of Company common stock; the general partner of North Peak Partners, Juniper North Peak Partners GP, L.P., has shared voting and dispositive power with respect to 303,272 shares of Company common stock; and the general partner of Fund IV, Juniper Capital IV GP, L.P., has shared voting and dispositive power with respect to 1,691,216 shares of Company common stock. Mr. Edward Geiser, a member of the Company’s Board of Directors, is the indirect, sole owner of the general partner of each of Fund II, Fund III, NPR Partners, North Peak Partners, and Fund IV, and has shared voting and dispositive power with respect to the 6,861,564 shares of the Company common stock collectively held for the benefit of Fund II, Fund III, NPR Partners, North Peak Partners and Fund IV. Mr. Geiser disclaims beneficial ownership of these securities except to the extent of his pecuniary interest therein. Mr. Geiser, as control person of the Juniper Shareholder, also has certain board nomination rights pursuant to the Shareholder Agreement (discussed in greater detail under “</w:t>
            </w:r>
            <w:r>
              <w:rPr>
                <w:rStyle w:val="Emphasis"/>
              </w:rPr>
              <w:t>Description of Capital Stock—Shareholder Agreement”</w:t>
            </w:r>
            <w:r>
              <w:rPr/>
              <w:t>). The day-to-day operations of each of Fund II, NPR Partners, Fund III and North Peak Partners are managed by Juniper Capital Advisors, L.P. (“</w:t>
            </w:r>
            <w:r>
              <w:rPr>
                <w:u w:val="single"/>
              </w:rPr>
              <w:t>JCA</w:t>
            </w:r>
            <w:r>
              <w:rPr/>
              <w:t>”), and the day-to-day operations of Fund IV are managed by Juniper Capital Investment Management, L.P. (“</w:t>
            </w:r>
            <w:r>
              <w:rPr>
                <w:u w:val="single"/>
              </w:rPr>
              <w:t>JCIM</w:t>
            </w:r>
            <w:r>
              <w:rPr/>
              <w:t>”), in each case pursuant to one or more management agreements. Each of JCA and JCIM is an investment adviser registered with the U.S. Securities and Exchange Commission under the Investment Advisers Act of 1940, and each is controlled by its general partner, Juniper Capital Advisors GP, LLC, of which Mr. Geiser is the sole member.</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(7)</w:t>
            </w:r>
          </w:p>
        </w:tc>
        <w:tc>
          <w:tcPr>
            <w:tcW w:w="9868" w:type="dxa"/>
            <w:tcBorders/>
            <w:vAlign w:val="center"/>
          </w:tcPr>
          <w:p>
            <w:pPr>
              <w:pStyle w:val="TableContents"/>
              <w:bidi w:val="0"/>
              <w:spacing w:before="0" w:after="283"/>
              <w:jc w:val="left"/>
              <w:rPr/>
            </w:pPr>
            <w:r>
              <w:rPr/>
              <w:t>Jody D. Crook has served as the Chief Commercial Officer of the Company in December 2024.</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w:t>
            </w:r>
          </w:p>
        </w:tc>
        <w:tc>
          <w:tcPr>
            <w:tcW w:w="9868" w:type="dxa"/>
            <w:tcBorders/>
            <w:vAlign w:val="center"/>
          </w:tcPr>
          <w:p>
            <w:pPr>
              <w:pStyle w:val="TableContents"/>
              <w:bidi w:val="0"/>
              <w:spacing w:before="0" w:after="283"/>
              <w:jc w:val="left"/>
              <w:rPr/>
            </w:pPr>
            <w:r>
              <w:rPr/>
              <w:t>Mr. Dukes has served as the Chief Operating Officer of the Company since October 2025, previously serving from October 2019 to May 2021, as Chief Financial Officer, and from June 2021 to October 2025, as the Chief Executive Officer, of Century Natural Resources, LLC, a privately held Houston, Texas-based oil and gas exploration and production company that previously managed the assets acquired by the Company in October 2025 pursuant to the Mergers.</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w:t>
            </w:r>
          </w:p>
        </w:tc>
        <w:tc>
          <w:tcPr>
            <w:tcW w:w="9868" w:type="dxa"/>
            <w:tcBorders/>
            <w:vAlign w:val="center"/>
          </w:tcPr>
          <w:p>
            <w:pPr>
              <w:pStyle w:val="TableContents"/>
              <w:bidi w:val="0"/>
              <w:spacing w:before="0" w:after="283"/>
              <w:jc w:val="left"/>
              <w:rPr/>
            </w:pPr>
            <w:r>
              <w:rPr/>
              <w:t>Mr. Long as served as the Chief Financial Officer of the Company since October 2025, and previously served from February 2022 to October 2025, as the Chief Financial Officer of Century Natural Resources, LLC, a privately held Houston, Texas-based oil and gas exploration and production company that previously managed the assets acquired by the Company in October 2025 pursuant to the Mergers.</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w:t>
            </w:r>
          </w:p>
        </w:tc>
        <w:tc>
          <w:tcPr>
            <w:tcW w:w="9868" w:type="dxa"/>
            <w:tcBorders/>
            <w:vAlign w:val="center"/>
          </w:tcPr>
          <w:p>
            <w:pPr>
              <w:pStyle w:val="TableContents"/>
              <w:bidi w:val="0"/>
              <w:spacing w:before="0" w:after="283"/>
              <w:jc w:val="left"/>
              <w:rPr/>
            </w:pPr>
            <w:r>
              <w:rPr/>
              <w:t>Former employee of the Company. Previously was employed by Century Natural Resources, LLC, a privately held Houston, Texas-based oil and gas exploration and production company that previously managed the assets acquired by the Company in October 2025 pursuant to the Mergers.</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(11)</w:t>
            </w:r>
          </w:p>
        </w:tc>
        <w:tc>
          <w:tcPr>
            <w:tcW w:w="9868" w:type="dxa"/>
            <w:tcBorders/>
            <w:vAlign w:val="center"/>
          </w:tcPr>
          <w:p>
            <w:pPr>
              <w:pStyle w:val="TableContents"/>
              <w:bidi w:val="0"/>
              <w:spacing w:before="0" w:after="283"/>
              <w:jc w:val="left"/>
              <w:rPr/>
            </w:pPr>
            <w:r>
              <w:rPr/>
              <w:t>The Trustee and beneficiary of The SGK 2018 Revocable Trust is Dr. Simon Kukes, who prior to the Mergers had over 51% voting control over the Company, and who served as Chief Executive Officer of the Company from July 2018 to January 2025, as a director of the Company from July 2018 to October 2025, and as Executive Chairman of the Board of Directors from January 2025 to October 2025, when he resigned from the Board of Directors.</w:t>
            </w:r>
          </w:p>
        </w:tc>
      </w:tr>
      <w:tr>
        <w:trPr/>
        <w:tc>
          <w:tcPr>
            <w:tcW w:w="337" w:type="dxa"/>
            <w:tcBorders/>
            <w:vAlign w:val="center"/>
          </w:tcPr>
          <w:p>
            <w:pPr>
              <w:pStyle w:val="TableContents"/>
              <w:bidi w:val="0"/>
              <w:spacing w:before="0" w:after="0"/>
              <w:ind w:left="0" w:right="0" w:hanging="0"/>
              <w:jc w:val="left"/>
              <w:rPr/>
            </w:pPr>
            <w:r>
              <w:rPr/>
              <w:t> </w:t>
            </w:r>
          </w:p>
        </w:tc>
        <w:tc>
          <w:tcPr>
            <w:tcW w:w="9868" w:type="dxa"/>
            <w:tcBorders/>
            <w:vAlign w:val="center"/>
          </w:tcPr>
          <w:p>
            <w:pPr>
              <w:pStyle w:val="TableContents"/>
              <w:bidi w:val="0"/>
              <w:spacing w:before="0" w:after="0"/>
              <w:ind w:left="0" w:right="0" w:hanging="0"/>
              <w:jc w:val="left"/>
              <w:rPr/>
            </w:pPr>
            <w:r>
              <w:rPr/>
              <w:t> </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868" w:type="dxa"/>
            <w:tcBorders/>
            <w:vAlign w:val="center"/>
          </w:tcPr>
          <w:p>
            <w:pPr>
              <w:pStyle w:val="TableContents"/>
              <w:bidi w:val="0"/>
              <w:spacing w:before="0" w:after="0"/>
              <w:ind w:left="0" w:right="0" w:hanging="0"/>
              <w:jc w:val="both"/>
              <w:rPr/>
            </w:pPr>
            <w:r>
              <w:rPr>
                <w:rFonts w:ascii="times new roman" w:hAnsi="times new roman"/>
                <w:sz w:val="20"/>
              </w:rPr>
              <w:t>Represents shares of common stock issued upon the automatic conversion of shares of Series A Preferred Stock acquired directly from the Company pursuant to the PIPE Offering described in greater detail under “</w:t>
            </w:r>
            <w:r>
              <w:rPr>
                <w:rStyle w:val="Emphasis"/>
                <w:rFonts w:ascii="times new roman" w:hAnsi="times new roman"/>
                <w:sz w:val="20"/>
              </w:rPr>
              <w:t>Prospectus Summary—Our Company—PIPE Offering</w:t>
            </w:r>
            <w:r>
              <w:rPr>
                <w:rFonts w:ascii="times new roman" w:hAnsi="times new roman"/>
                <w:sz w:val="20"/>
              </w:rPr>
              <w:t>”.</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868" w:type="dxa"/>
            <w:tcBorders/>
            <w:vAlign w:val="center"/>
          </w:tcPr>
          <w:p>
            <w:pPr>
              <w:pStyle w:val="TableContents"/>
              <w:bidi w:val="0"/>
              <w:spacing w:before="0" w:after="283"/>
              <w:jc w:val="left"/>
              <w:rPr/>
            </w:pPr>
            <w:r>
              <w:rPr/>
              <w:t>Shares received from certain affiliates of Juniper pursuant to a pre-existing agreement with such affiliates.</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868" w:type="dxa"/>
            <w:tcBorders/>
            <w:vAlign w:val="center"/>
          </w:tcPr>
          <w:p>
            <w:pPr>
              <w:pStyle w:val="TableContents"/>
              <w:bidi w:val="0"/>
              <w:spacing w:before="0" w:after="283"/>
              <w:jc w:val="left"/>
              <w:rPr/>
            </w:pPr>
            <w:r>
              <w:rPr/>
              <w:t>Represents shares of common stock issued upon the automatic conversion of shares of Series A Preferred Stock acquired directly from the Company pursuant to the PIPE Offering described in greater detail under “</w:t>
            </w:r>
            <w:r>
              <w:rPr>
                <w:rStyle w:val="Emphasis"/>
              </w:rPr>
              <w:t>Prospectus Summary—Our Company—PIPE Offering</w:t>
            </w:r>
            <w:r>
              <w:rPr/>
              <w:t>”.</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868" w:type="dxa"/>
            <w:tcBorders/>
            <w:vAlign w:val="center"/>
          </w:tcPr>
          <w:p>
            <w:pPr>
              <w:pStyle w:val="TableContents"/>
              <w:bidi w:val="0"/>
              <w:spacing w:before="0" w:after="283"/>
              <w:jc w:val="left"/>
              <w:rPr/>
            </w:pPr>
            <w:r>
              <w:rPr/>
              <w:t>Represents shares of common stock issued upon the automatic conversion of shares of Series A Preferred Stock acquired directly from the Company pursuant to the Merger Agreement described in greater detail under “</w:t>
            </w:r>
            <w:r>
              <w:rPr>
                <w:rStyle w:val="Emphasis"/>
              </w:rPr>
              <w:t>Prospectus Summary—Our Company—Merger Agreement</w:t>
            </w:r>
            <w:r>
              <w:rPr/>
              <w:t>”.</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9868" w:type="dxa"/>
            <w:tcBorders/>
            <w:vAlign w:val="center"/>
          </w:tcPr>
          <w:p>
            <w:pPr>
              <w:pStyle w:val="TableContents"/>
              <w:bidi w:val="0"/>
              <w:spacing w:before="0" w:after="0"/>
              <w:ind w:left="0" w:right="0" w:hanging="0"/>
              <w:jc w:val="both"/>
              <w:rPr/>
            </w:pPr>
            <w:r>
              <w:rPr>
                <w:rFonts w:ascii="times new roman" w:hAnsi="times new roman"/>
                <w:sz w:val="20"/>
              </w:rPr>
              <w:t>Includes (x) 4,773 shares of common stock issued upon conversion of Series A Preferred Shares acquired directly from the Company in the PIPE Offering described in greater detail under “</w:t>
            </w:r>
            <w:r>
              <w:rPr>
                <w:rStyle w:val="Emphasis"/>
                <w:rFonts w:ascii="times new roman" w:hAnsi="times new roman"/>
                <w:sz w:val="20"/>
              </w:rPr>
              <w:t>Prospectus Summary—Our Company—PIPE Offering</w:t>
            </w:r>
            <w:r>
              <w:rPr>
                <w:rFonts w:ascii="times new roman" w:hAnsi="times new roman"/>
                <w:sz w:val="20"/>
              </w:rPr>
              <w:t xml:space="preserve">,” and (y) 51,922 shares of common stock received from certain affiliates of Juniper pursuant to a pre-existing agreement with such affiliates. </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w:t>
            </w:r>
          </w:p>
        </w:tc>
        <w:tc>
          <w:tcPr>
            <w:tcW w:w="9868" w:type="dxa"/>
            <w:tcBorders/>
            <w:vAlign w:val="center"/>
          </w:tcPr>
          <w:p>
            <w:pPr>
              <w:pStyle w:val="TableContents"/>
              <w:bidi w:val="0"/>
              <w:spacing w:before="0" w:after="0"/>
              <w:ind w:left="0" w:right="0" w:hanging="0"/>
              <w:jc w:val="both"/>
              <w:rPr/>
            </w:pPr>
            <w:r>
              <w:rPr>
                <w:rFonts w:ascii="times new roman" w:hAnsi="times new roman"/>
                <w:sz w:val="20"/>
              </w:rPr>
              <w:t>Includes (x) 4,773 shares of common stock issued upon conversion of Series A Preferred Shares acquired directly from the Company in the PIPE Offering described in greater detail under “</w:t>
            </w:r>
            <w:r>
              <w:rPr>
                <w:rStyle w:val="Emphasis"/>
                <w:rFonts w:ascii="times new roman" w:hAnsi="times new roman"/>
                <w:sz w:val="20"/>
              </w:rPr>
              <w:t>Prospectus Summary—Our Company—PIPE Offering</w:t>
            </w:r>
            <w:r>
              <w:rPr>
                <w:rFonts w:ascii="times new roman" w:hAnsi="times new roman"/>
                <w:sz w:val="20"/>
              </w:rPr>
              <w:t>,” and (y) 42,136 shares of common stock received from certain affiliates of Juniper pursuant to a pre-existing agreement with such affiliates.</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w:t>
            </w:r>
          </w:p>
        </w:tc>
        <w:tc>
          <w:tcPr>
            <w:tcW w:w="9868" w:type="dxa"/>
            <w:tcBorders/>
            <w:vAlign w:val="center"/>
          </w:tcPr>
          <w:p>
            <w:pPr>
              <w:pStyle w:val="TableContents"/>
              <w:bidi w:val="0"/>
              <w:spacing w:before="0" w:after="0"/>
              <w:ind w:left="0" w:right="0" w:hanging="0"/>
              <w:jc w:val="both"/>
              <w:rPr/>
            </w:pPr>
            <w:r>
              <w:rPr>
                <w:rFonts w:ascii="times new roman" w:hAnsi="times new roman"/>
                <w:sz w:val="20"/>
              </w:rPr>
              <w:t>Includes (x) 1,818 shares of common stock issued upon conversion of Series A Preferred Shares acquired directly from the Company in the PIPE Offering described in greater detail under “</w:t>
            </w:r>
            <w:r>
              <w:rPr>
                <w:rStyle w:val="Emphasis"/>
                <w:rFonts w:ascii="times new roman" w:hAnsi="times new roman"/>
                <w:sz w:val="20"/>
              </w:rPr>
              <w:t>Prospectus Summary—Our Company—PIPE Offering</w:t>
            </w:r>
            <w:r>
              <w:rPr>
                <w:rFonts w:ascii="times new roman" w:hAnsi="times new roman"/>
                <w:sz w:val="20"/>
              </w:rPr>
              <w:t>,” and (y) 35,746 shares of common stock received from certain affiliates of Juniper pursuant to a pre-existing agreement with such affiliates.</w:t>
            </w:r>
          </w:p>
        </w:tc>
      </w:tr>
      <w:tr>
        <w:trPr/>
        <w:tc>
          <w:tcPr>
            <w:tcW w:w="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w:t>
            </w:r>
          </w:p>
        </w:tc>
        <w:tc>
          <w:tcPr>
            <w:tcW w:w="986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Includes 1,400,907 shares of common stock issued upon conversion of Series A Preferred Shares acquired directly from the Company as part of the PIPE Offering and 2,589,566 shares of common stock acquired by affiliates of The SGK Revocable Trust between 2018 and 2019, as discussed in greater detail above under “</w:t>
            </w:r>
            <w:r>
              <w:rPr>
                <w:rFonts w:ascii="times new roman" w:hAnsi="times new roman"/>
                <w:sz w:val="20"/>
                <w:u w:val="single"/>
              </w:rPr>
              <w:t>Prospectus Summary—Our Company—Dr. Simon Kukes 2018/2019 Funding Transactions</w:t>
            </w:r>
            <w:r>
              <w:rPr>
                <w:rFonts w:ascii="times new roman" w:hAnsi="times new roman"/>
                <w:sz w:val="20"/>
              </w:rPr>
              <w:t>”.</w:t>
            </w:r>
          </w:p>
        </w:tc>
      </w:tr>
    </w:tbl>
    <w:p>
      <w:pPr>
        <w:pStyle w:val="TextBody"/>
        <w:bidi w:val="0"/>
        <w:spacing w:before="0" w:after="0"/>
        <w:ind w:left="0" w:right="0" w:hanging="0"/>
        <w:jc w:val="left"/>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0" w:name="PLANOFDISTRIBUTION"/>
      <w:bookmarkEnd w:id="10"/>
      <w:r>
        <w:rPr>
          <w:rStyle w:val="StrongEmphasis"/>
          <w:rFonts w:ascii="times new roman" w:hAnsi="times new roman"/>
          <w:sz w:val="20"/>
        </w:rPr>
        <w:t>PLAN OF DISTRIBUTION</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may use any one or more of the following methods when disposing of shares or interests therein:</w:t>
      </w:r>
    </w:p>
    <w:p>
      <w:pPr>
        <w:pStyle w:val="TextBody"/>
        <w:bidi w:val="0"/>
        <w:spacing w:before="0" w:after="0"/>
        <w:ind w:left="0" w:right="0" w:hanging="0"/>
        <w:jc w:val="both"/>
        <w:rPr/>
      </w:pPr>
      <w:r>
        <w:rPr/>
        <w:t> </w:t>
      </w:r>
    </w:p>
    <w:tbl>
      <w:tblPr>
        <w:tblW w:w="8373" w:type="dxa"/>
        <w:jc w:val="left"/>
        <w:tblInd w:w="0" w:type="dxa"/>
        <w:tblLayout w:type="fixed"/>
        <w:tblCellMar>
          <w:top w:w="0" w:type="dxa"/>
          <w:left w:w="0" w:type="dxa"/>
          <w:bottom w:w="0" w:type="dxa"/>
          <w:right w:w="0" w:type="dxa"/>
        </w:tblCellMar>
      </w:tblPr>
      <w:tblGrid>
        <w:gridCol w:w="68"/>
        <w:gridCol w:w="200"/>
        <w:gridCol w:w="81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81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distributions to members, partners, stockholders or other equity holders of the selling stockholders;</w:t>
            </w:r>
          </w:p>
        </w:tc>
      </w:tr>
    </w:tbl>
    <w:p>
      <w:pPr>
        <w:pStyle w:val="TextBody"/>
        <w:bidi w:val="0"/>
        <w:spacing w:before="0" w:after="0"/>
        <w:ind w:left="0" w:right="0" w:hanging="0"/>
        <w:jc w:val="both"/>
        <w:rPr/>
      </w:pPr>
      <w:r>
        <w:rPr/>
        <w:t> </w:t>
      </w:r>
    </w:p>
    <w:tbl>
      <w:tblPr>
        <w:tblW w:w="8058" w:type="dxa"/>
        <w:jc w:val="left"/>
        <w:tblInd w:w="0" w:type="dxa"/>
        <w:tblLayout w:type="fixed"/>
        <w:tblCellMar>
          <w:top w:w="0" w:type="dxa"/>
          <w:left w:w="0" w:type="dxa"/>
          <w:bottom w:w="0" w:type="dxa"/>
          <w:right w:w="0" w:type="dxa"/>
        </w:tblCellMar>
      </w:tblPr>
      <w:tblGrid>
        <w:gridCol w:w="68"/>
        <w:gridCol w:w="200"/>
        <w:gridCol w:w="77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77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ordinary brokerage transactions and transactions in which the broker-dealer solicits purchasers;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993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both"/>
        <w:rPr/>
      </w:pPr>
      <w:r>
        <w:rPr/>
        <w:t> </w:t>
      </w:r>
    </w:p>
    <w:tbl>
      <w:tblPr>
        <w:tblW w:w="7458" w:type="dxa"/>
        <w:jc w:val="left"/>
        <w:tblInd w:w="0" w:type="dxa"/>
        <w:tblLayout w:type="fixed"/>
        <w:tblCellMar>
          <w:top w:w="0" w:type="dxa"/>
          <w:left w:w="0" w:type="dxa"/>
          <w:bottom w:w="0" w:type="dxa"/>
          <w:right w:w="0" w:type="dxa"/>
        </w:tblCellMar>
      </w:tblPr>
      <w:tblGrid>
        <w:gridCol w:w="68"/>
        <w:gridCol w:w="200"/>
        <w:gridCol w:w="71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71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purchases by a broker-dealer as principal and resale by the broker-dealer for its account;</w:t>
            </w:r>
          </w:p>
        </w:tc>
      </w:tr>
    </w:tbl>
    <w:p>
      <w:pPr>
        <w:pStyle w:val="TextBody"/>
        <w:bidi w:val="0"/>
        <w:spacing w:before="0" w:after="0"/>
        <w:ind w:left="0" w:right="0" w:hanging="0"/>
        <w:jc w:val="both"/>
        <w:rPr/>
      </w:pPr>
      <w:r>
        <w:rPr/>
        <w:t> </w:t>
      </w:r>
    </w:p>
    <w:tbl>
      <w:tblPr>
        <w:tblW w:w="6993" w:type="dxa"/>
        <w:jc w:val="left"/>
        <w:tblInd w:w="0" w:type="dxa"/>
        <w:tblLayout w:type="fixed"/>
        <w:tblCellMar>
          <w:top w:w="0" w:type="dxa"/>
          <w:left w:w="0" w:type="dxa"/>
          <w:bottom w:w="0" w:type="dxa"/>
          <w:right w:w="0" w:type="dxa"/>
        </w:tblCellMar>
      </w:tblPr>
      <w:tblGrid>
        <w:gridCol w:w="68"/>
        <w:gridCol w:w="200"/>
        <w:gridCol w:w="67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67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 exchange distribution in accordance with the rules of the applicable exchange;</w:t>
            </w:r>
          </w:p>
        </w:tc>
      </w:tr>
    </w:tbl>
    <w:p>
      <w:pPr>
        <w:pStyle w:val="TextBody"/>
        <w:bidi w:val="0"/>
        <w:spacing w:before="0" w:after="0"/>
        <w:ind w:left="0" w:right="0" w:hanging="0"/>
        <w:jc w:val="both"/>
        <w:rPr/>
      </w:pPr>
      <w:r>
        <w:rPr/>
        <w:t> </w:t>
      </w:r>
    </w:p>
    <w:tbl>
      <w:tblPr>
        <w:tblW w:w="3093" w:type="dxa"/>
        <w:jc w:val="left"/>
        <w:tblInd w:w="0" w:type="dxa"/>
        <w:tblLayout w:type="fixed"/>
        <w:tblCellMar>
          <w:top w:w="0" w:type="dxa"/>
          <w:left w:w="0" w:type="dxa"/>
          <w:bottom w:w="0" w:type="dxa"/>
          <w:right w:w="0" w:type="dxa"/>
        </w:tblCellMar>
      </w:tblPr>
      <w:tblGrid>
        <w:gridCol w:w="68"/>
        <w:gridCol w:w="200"/>
        <w:gridCol w:w="28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28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privately negotiated transactions;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993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short sales and settlement of short sales entered into after the effective date of the registration statement of which this prospectus is a part;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993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through the writing or settlement of options or other hedging transactions, whether through an options exchange or otherwise;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993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broker-dealers may agree with the Selling Stockholders to sell a specified number of such shares at a stipulated price per share;</w:t>
            </w:r>
          </w:p>
        </w:tc>
      </w:tr>
    </w:tbl>
    <w:p>
      <w:pPr>
        <w:pStyle w:val="TextBody"/>
        <w:bidi w:val="0"/>
        <w:spacing w:before="0" w:after="0"/>
        <w:ind w:left="0" w:right="0" w:hanging="0"/>
        <w:jc w:val="both"/>
        <w:rPr/>
      </w:pPr>
      <w:r>
        <w:rPr/>
        <w:t> </w:t>
      </w:r>
    </w:p>
    <w:tbl>
      <w:tblPr>
        <w:tblW w:w="4218" w:type="dxa"/>
        <w:jc w:val="left"/>
        <w:tblInd w:w="0" w:type="dxa"/>
        <w:tblLayout w:type="fixed"/>
        <w:tblCellMar>
          <w:top w:w="0" w:type="dxa"/>
          <w:left w:w="0" w:type="dxa"/>
          <w:bottom w:w="0" w:type="dxa"/>
          <w:right w:w="0" w:type="dxa"/>
        </w:tblCellMar>
      </w:tblPr>
      <w:tblGrid>
        <w:gridCol w:w="68"/>
        <w:gridCol w:w="200"/>
        <w:gridCol w:w="39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39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combination of any such methods of sale; and</w:t>
            </w:r>
          </w:p>
        </w:tc>
      </w:tr>
    </w:tbl>
    <w:p>
      <w:pPr>
        <w:pStyle w:val="TextBody"/>
        <w:bidi w:val="0"/>
        <w:spacing w:before="0" w:after="0"/>
        <w:ind w:left="0" w:right="0" w:hanging="0"/>
        <w:jc w:val="both"/>
        <w:rPr/>
      </w:pPr>
      <w:r>
        <w:rPr/>
        <w:t> </w:t>
      </w:r>
    </w:p>
    <w:tbl>
      <w:tblPr>
        <w:tblW w:w="4848" w:type="dxa"/>
        <w:jc w:val="left"/>
        <w:tblInd w:w="0" w:type="dxa"/>
        <w:tblLayout w:type="fixed"/>
        <w:tblCellMar>
          <w:top w:w="0" w:type="dxa"/>
          <w:left w:w="0" w:type="dxa"/>
          <w:bottom w:w="0" w:type="dxa"/>
          <w:right w:w="0" w:type="dxa"/>
        </w:tblCellMar>
      </w:tblPr>
      <w:tblGrid>
        <w:gridCol w:w="68"/>
        <w:gridCol w:w="200"/>
        <w:gridCol w:w="45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ind w:left="0" w:right="0" w:hanging="0"/>
              <w:jc w:val="left"/>
              <w:rPr/>
            </w:pPr>
            <w:r>
              <w:rPr/>
              <w:t>●</w:t>
            </w:r>
          </w:p>
        </w:tc>
        <w:tc>
          <w:tcPr>
            <w:tcW w:w="45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other method permitted pursuant to applicable law.</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selling stockholders also may resell all or a portion of the shares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agreed to indemnify certain of the selling stockholders against liabilities, including liabilities under the Securities Act and state securities laws, relating to the registration of the shares offered by this prospectus.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agreed with certain of the selling stockholders to use commercially reasonable efforts to cause the registration statement of which this prospectus constitutes a part to become effective and to remain continuously effective until the earlier of: (i) the date all such applicable registrable securities have been sold pursuant to an effective registration statement, (ii) the date all such applicable registrable securities have been sold without restriction under Rule 144, (iii) the date all such applicable registrable securities have been sold or disposed of in a private transaction; (iv) the date all such applicable registrable securities are no longer outstanding; or (v) the date all such applicable registrable securities may be sold without restriction under Rule 144.</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1" w:name="DESCRIPTIONOFCAPITALSTOCK"/>
      <w:bookmarkEnd w:id="11"/>
      <w:r>
        <w:rPr>
          <w:rStyle w:val="StrongEmphasis"/>
          <w:rFonts w:ascii="times new roman" w:hAnsi="times new roman"/>
          <w:sz w:val="20"/>
        </w:rPr>
        <w:t>DESCRIPTION OF CAPITAL STOCK</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description of our common stock is a summary and is qualified in its entirety by reference to our Certificate of Formation, as amended and restated (“</w:t>
      </w:r>
      <w:r>
        <w:rPr>
          <w:rFonts w:ascii="times new roman" w:hAnsi="times new roman"/>
          <w:sz w:val="20"/>
          <w:u w:val="single"/>
        </w:rPr>
        <w:t>Certificate of Formation</w:t>
      </w:r>
      <w:r>
        <w:rPr>
          <w:rFonts w:ascii="times new roman" w:hAnsi="times new roman"/>
          <w:sz w:val="20"/>
        </w:rPr>
        <w:t>”) and our Bylaws, as amended and restated (“</w:t>
      </w:r>
      <w:r>
        <w:rPr>
          <w:rFonts w:ascii="times new roman" w:hAnsi="times new roman"/>
          <w:sz w:val="20"/>
          <w:u w:val="single"/>
        </w:rPr>
        <w:t>Bylaws</w:t>
      </w:r>
      <w:r>
        <w:rPr>
          <w:rFonts w:ascii="times new roman" w:hAnsi="times new roman"/>
          <w:sz w:val="20"/>
        </w:rPr>
        <w:t>”), which are incorporated by reference as exhibits to the registration statement of which this prospectus forms a part and by applicable law.</w:t>
      </w:r>
    </w:p>
    <w:p>
      <w:pPr>
        <w:pStyle w:val="TextBody"/>
        <w:bidi w:val="0"/>
        <w:spacing w:before="0" w:after="0"/>
        <w:ind w:left="0" w:right="0" w:firstLine="675"/>
        <w:jc w:val="both"/>
        <w:rPr/>
      </w:pPr>
      <w:r>
        <w:rPr/>
        <w:t> </w:t>
      </w:r>
    </w:p>
    <w:p>
      <w:pPr>
        <w:pStyle w:val="TextBody"/>
        <w:bidi w:val="0"/>
        <w:spacing w:before="0" w:after="0"/>
        <w:ind w:left="0" w:right="0" w:hanging="0"/>
        <w:jc w:val="both"/>
        <w:rPr/>
      </w:pPr>
      <w:r>
        <w:rPr>
          <w:rStyle w:val="StrongEmphasis"/>
          <w:rFonts w:ascii="times new roman" w:hAnsi="times new roman"/>
          <w:sz w:val="20"/>
        </w:rPr>
        <w:t>Authorized Capitalization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total number of authorized shares of our common stock is 300,000,000 shares, $0.001 par value per share.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total number of “</w:t>
      </w:r>
      <w:r>
        <w:rPr>
          <w:rFonts w:ascii="times new roman" w:hAnsi="times new roman"/>
          <w:sz w:val="20"/>
          <w:u w:val="single"/>
        </w:rPr>
        <w:t>blank check</w:t>
      </w:r>
      <w:r>
        <w:rPr>
          <w:rFonts w:ascii="times new roman" w:hAnsi="times new roman"/>
          <w:sz w:val="20"/>
        </w:rPr>
        <w:t>” authorized shares of our preferred stock is 100,000,000 shares, $0.001 par value per share.</w:t>
      </w:r>
    </w:p>
    <w:p>
      <w:pPr>
        <w:pStyle w:val="TextBody"/>
        <w:bidi w:val="0"/>
        <w:spacing w:before="0" w:after="0"/>
        <w:ind w:left="0" w:right="0" w:firstLine="675"/>
        <w:jc w:val="both"/>
        <w:rPr/>
      </w:pPr>
      <w:r>
        <w:rPr/>
        <w:t> </w:t>
      </w:r>
    </w:p>
    <w:p>
      <w:pPr>
        <w:pStyle w:val="TextBody"/>
        <w:bidi w:val="0"/>
        <w:spacing w:before="0" w:after="0"/>
        <w:ind w:left="0" w:right="0" w:hanging="0"/>
        <w:jc w:val="both"/>
        <w:rPr/>
      </w:pPr>
      <w:r>
        <w:rPr>
          <w:rStyle w:val="StrongEmphasis"/>
          <w:rFonts w:ascii="times new roman" w:hAnsi="times new roman"/>
          <w:sz w:val="20"/>
        </w:rPr>
        <w:t>Common Stock</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Voting Rights</w:t>
      </w:r>
      <w:r>
        <w:rPr>
          <w:rFonts w:ascii="times new roman" w:hAnsi="times new roman"/>
          <w:sz w:val="20"/>
        </w:rPr>
        <w:t>. Each share of our common stock is entitled to one vote on all stockholder matters. Shares of our common stock do not possess any cumulative voting rights.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Texas law, our Certificate of Formation or Bylaws. Subject to the terms of the Shareholder Agreement (discussed below), so long as that remains in place,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have designated, or may designate and issue in the future.</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Dividend Rights</w:t>
      </w:r>
      <w:r>
        <w:rPr>
          <w:rFonts w:ascii="times new roman" w:hAnsi="times new roman"/>
          <w:sz w:val="20"/>
        </w:rPr>
        <w:t>. Each share of our common stock is entitled to equal dividends and distributions per share with respect to the common stock when, as and if declared by our Board of Directors, subject to any preferential or other rights of any outstanding preferred stock.</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Liquidation and Dissolution Rights</w:t>
      </w:r>
      <w:r>
        <w:rPr>
          <w:rFonts w:ascii="times new roman" w:hAnsi="times new roman"/>
          <w:sz w:val="20"/>
        </w:rPr>
        <w:t>. Upon liquidation, dissolution or winding up, our common stock will be entitled to receive pro rata on a share-for-share basis, the assets available for distribution to the stockholders after payment of liabilities and payment of preferential and other amounts, if any, payable on any outstanding preferred stock.</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Fully Paid Status. </w:t>
      </w:r>
      <w:r>
        <w:rPr>
          <w:rFonts w:ascii="times new roman" w:hAnsi="times new roman"/>
          <w:sz w:val="20"/>
        </w:rPr>
        <w:t>All outstanding shares of the Company’s common stock are validly issued, fully paid and non-assessable.</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Listing. </w:t>
      </w:r>
      <w:r>
        <w:rPr>
          <w:rFonts w:ascii="times new roman" w:hAnsi="times new roman"/>
          <w:sz w:val="20"/>
        </w:rPr>
        <w:t>Our common stock is listed and traded on the NYSE American under the symbol “</w:t>
      </w:r>
      <w:r>
        <w:rPr>
          <w:rFonts w:ascii="times new roman" w:hAnsi="times new roman"/>
          <w:sz w:val="20"/>
          <w:u w:val="single"/>
        </w:rPr>
        <w:t>PED</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Other Matters</w:t>
      </w:r>
      <w:r>
        <w:rPr>
          <w:rFonts w:ascii="times new roman" w:hAnsi="times new roman"/>
          <w:sz w:val="20"/>
        </w:rPr>
        <w:t>. No holder of any shares of our common stock has a preemptive right to subscribe for any of our securities, nor are any shares of our common stock subject to redemption or convertible into other securities.</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Business Combinations under Texas Law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 number of provisions of Texas law, our Certificate of Formation and Bylaws could make it more difficult for the acquisition of our company by means of a tender offer, a proxy contest or otherwise and the removal of incumbent officers and directors. These provisions are intended to discourage coercive takeover practices and inadequate takeover bids and to encourage persons seeking to acquire control of our company to negotiate first with our board of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are subject to the provisions of Title 2, Chapter 21, Subchapter M of the Texas Business Organizations Code (the “</w:t>
      </w:r>
      <w:r>
        <w:rPr>
          <w:rFonts w:ascii="times new roman" w:hAnsi="times new roman"/>
          <w:sz w:val="20"/>
          <w:u w:val="single"/>
        </w:rPr>
        <w:t>Texas Business Combination Law</w:t>
      </w:r>
      <w:r>
        <w:rPr>
          <w:rFonts w:ascii="times new roman" w:hAnsi="times new roman"/>
          <w:sz w:val="20"/>
        </w:rPr>
        <w:t>”). That law provides that a Texas corporation may not engage in specified types of business combinations, including mergers, consolidations and asset sales, with a person, or an affiliate or associate of that person, who is an “</w:t>
      </w:r>
      <w:r>
        <w:rPr>
          <w:rFonts w:ascii="times new roman" w:hAnsi="times new roman"/>
          <w:sz w:val="20"/>
          <w:u w:val="single"/>
        </w:rPr>
        <w:t>affiliated shareholder</w:t>
      </w:r>
      <w:r>
        <w:rPr>
          <w:rFonts w:ascii="times new roman" w:hAnsi="times new roman"/>
          <w:sz w:val="20"/>
        </w:rPr>
        <w:t>”, for a period of three years from the date that person became an affiliated shareholder, subject to certain exceptions (described below). An “</w:t>
      </w:r>
      <w:r>
        <w:rPr>
          <w:rFonts w:ascii="times new roman" w:hAnsi="times new roman"/>
          <w:sz w:val="20"/>
          <w:u w:val="single"/>
        </w:rPr>
        <w:t>affiliated shareholder</w:t>
      </w:r>
      <w:r>
        <w:rPr>
          <w:rFonts w:ascii="times new roman" w:hAnsi="times new roman"/>
          <w:sz w:val="20"/>
        </w:rPr>
        <w:t>” is generally defined as the holder of 20% or more of the corporation’s voting shares. The law’s prohibitions do not apply if the business combination or the acquisition of shares by the affiliated shareholder was approved by the board of directors of the corporation before the affiliated shareholder became an affiliated shareholder; or the business combination was approved by the affirmative vote of the holders of at least two-thirds of the outstanding voting shares of the corporation not beneficially owned by the affiliated shareholder, at a meeting of shareholders called for that purpose, not less than six months after the affiliated shareholder became an affiliated shareholder.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Because we have more than 100 record shareholders, we are considered an “</w:t>
      </w:r>
      <w:r>
        <w:rPr>
          <w:rFonts w:ascii="times new roman" w:hAnsi="times new roman"/>
          <w:sz w:val="20"/>
          <w:u w:val="single"/>
        </w:rPr>
        <w:t>issuing public corporation</w:t>
      </w:r>
      <w:r>
        <w:rPr>
          <w:rFonts w:ascii="times new roman" w:hAnsi="times new roman"/>
          <w:sz w:val="20"/>
        </w:rPr>
        <w:t>” for purposes of this law. The Texas Business Combination Law does not apply to the following: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business combination of an issuing public corporation: where the corporation’s original charter or bylaws contain a provision expressly electing not to be governed by the Texas Business Combination Law; or that adopts an amendment to its charter or bylaws, by the affirmative vote of the holders, other than affiliated shareholders, of at least two-thirds of the outstanding voting shares of the corporation, expressly electing not to be governed by the Texas Business Combination Law and so long as the amendment does not take effect for 18 months following the date of the vote and does not apply to a business combination with an affiliated shareholder who became affiliated on or before the effective date of the amendment;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business combination of an issuing public corporation with an affiliated shareholder that became an affiliated shareholder inadvertently, if the affiliated shareholder divests itself, as soon as possible, of enough shares to no longer be an affiliated shareholder and would not at any time within the three-year period preceding the announcement of the business combination have been an affiliated shareholder but for the inadvertent acquisition;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business combination with an affiliated shareholder who became an affiliated shareholder through a transfer of shares by will or intestacy and continuously was an affiliated shareholder until the announcement date of the business combination; 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business combination of a corporation with its wholly-owned Texas subsidiary if the subsidiary is not an affiliate or associate of the affiliated shareholder other than by reason of the affiliated shareholder’s beneficial ownership of voting shares of the corporation.</w:t>
            </w:r>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Neither our Certificate of Formation, nor our Bylaws contain any provision expressly providing that we will not be subject to the Texas Business Combination Law. The Texas Business Combination Law may have the effect of inhibiting a non-negotiated merger or other business combination involving our company, even if that event would be beneficial to our shareholders.</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Anti-Takeover Provisions of Our Charter Documents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Certificate of Formation and Bylaws contain various provisions intended to promote the stability of our stockholder base and render more difficult certain unsolicited or hostile attempts to take us over, that could disrupt us, divert the attention of our directors, officers and employees and adversely affect the independence and integrity of our business. These provisions include: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Special Meetings of Stockholders — </w:t>
            </w:r>
            <w:r>
              <w:rPr>
                <w:rFonts w:ascii="times new roman" w:hAnsi="times new roman"/>
                <w:sz w:val="20"/>
              </w:rPr>
              <w:t>Our Bylaws provide that special meetings of the stockholders may only be called by our Chairman, our President, or upon written notice to our board of directors by our stockholders holding not less than 30% of our outstanding voting capital stock.</w:t>
            </w:r>
          </w:p>
        </w:tc>
      </w:tr>
    </w:tbl>
    <w:p>
      <w:pPr>
        <w:pStyle w:val="TextBody"/>
        <w:bidi w:val="0"/>
        <w:spacing w:before="0" w:after="0"/>
        <w:ind w:left="0" w:right="0" w:hanging="0"/>
        <w:jc w:val="both"/>
        <w:rPr/>
      </w:pPr>
      <w:r>
        <w:rPr/>
        <w:t> </w:t>
      </w:r>
    </w:p>
    <w:tbl>
      <w:tblPr>
        <w:tblW w:w="7360" w:type="dxa"/>
        <w:jc w:val="left"/>
        <w:tblInd w:w="0" w:type="dxa"/>
        <w:tblLayout w:type="fixed"/>
        <w:tblCellMar>
          <w:top w:w="0" w:type="dxa"/>
          <w:left w:w="0" w:type="dxa"/>
          <w:bottom w:w="0" w:type="dxa"/>
          <w:right w:w="0" w:type="dxa"/>
        </w:tblCellMar>
      </w:tblPr>
      <w:tblGrid>
        <w:gridCol w:w="215"/>
        <w:gridCol w:w="7145"/>
      </w:tblGrid>
      <w:tr>
        <w:trPr/>
        <w:tc>
          <w:tcPr>
            <w:tcW w:w="215" w:type="dxa"/>
            <w:tcBorders/>
            <w:vAlign w:val="center"/>
          </w:tcPr>
          <w:p>
            <w:pPr>
              <w:pStyle w:val="TableContents"/>
              <w:bidi w:val="0"/>
              <w:spacing w:before="0" w:after="0"/>
              <w:ind w:left="0" w:right="0" w:hanging="0"/>
              <w:jc w:val="both"/>
              <w:rPr/>
            </w:pPr>
            <w:r>
              <w:rPr/>
              <w:t>●</w:t>
            </w:r>
          </w:p>
        </w:tc>
        <w:tc>
          <w:tcPr>
            <w:tcW w:w="7145" w:type="dxa"/>
            <w:tcBorders/>
            <w:vAlign w:val="center"/>
          </w:tcPr>
          <w:p>
            <w:pPr>
              <w:pStyle w:val="TableContents"/>
              <w:bidi w:val="0"/>
              <w:spacing w:before="0" w:after="0"/>
              <w:ind w:left="0" w:right="0" w:hanging="0"/>
              <w:jc w:val="both"/>
              <w:rPr/>
            </w:pPr>
            <w:r>
              <w:rPr>
                <w:rStyle w:val="Emphasis"/>
                <w:rFonts w:ascii="times new roman" w:hAnsi="times new roman"/>
                <w:sz w:val="20"/>
              </w:rPr>
              <w:t>Amendment of Bylaws — </w:t>
            </w:r>
            <w:r>
              <w:rPr>
                <w:rFonts w:ascii="times new roman" w:hAnsi="times new roman"/>
                <w:sz w:val="20"/>
              </w:rPr>
              <w:t>Our Bylaws may be amended by our Board of Directors alone.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Advance Notice Procedures — </w:t>
            </w:r>
            <w:r>
              <w:rPr>
                <w:rFonts w:ascii="times new roman" w:hAnsi="times new roman"/>
                <w:sz w:val="20"/>
              </w:rPr>
              <w:t>Our Bylaws establish an advance notice procedure for stockholder proposals to be brought before an annual meeting of our stockholders. At an annual meeting, our stockholders elect a Board of Directors and transact such other business as may properly be brought before the meeting. By contrast, at a special meeting, our stockholders may transact only the business for the purposes specified in the notice of the meeting.</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No cumulative voting </w:t>
            </w:r>
            <w:r>
              <w:rPr>
                <w:rFonts w:ascii="times new roman" w:hAnsi="times new roman"/>
                <w:sz w:val="20"/>
              </w:rPr>
              <w:t>— Our Certificate of Formation and Bylaws do not include a provision for cumulative voting in the election of directors.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Vacancies</w:t>
            </w:r>
            <w:r>
              <w:rPr>
                <w:rFonts w:ascii="times new roman" w:hAnsi="times new roman"/>
                <w:sz w:val="20"/>
              </w:rPr>
              <w:t> — Our Bylaws provide that vacancies on our Board may be filled by a majority of directors in office, although less than a quorum, and not by the stockholders, except as discussed below in connection with the Shareholder Agreement (discussed below).</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Preferred Stock</w:t>
            </w:r>
            <w:r>
              <w:rPr>
                <w:rFonts w:ascii="times new roman" w:hAnsi="times new roman"/>
                <w:sz w:val="20"/>
              </w:rPr>
              <w:t> — Our Certificate of Formation allows us to issue up to 100,000,000 shares of preferred stock. The undesignated preferred stock may have rights senior to those of the common stock and that otherwise could adversely affect the rights and powers, including voting rights, of the holders of common stock. In some circumstances, this issuance could have the effect of decreasing the market price of the common stock as well as having an anti-takeover effect.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Authorized but Unissued Shares — </w:t>
            </w:r>
            <w:r>
              <w:rPr>
                <w:rFonts w:ascii="times new roman" w:hAnsi="times new roman"/>
                <w:sz w:val="20"/>
              </w:rPr>
              <w:t>Our Board of Directors may cause us to issue our authorized but unissued shares of common stock in the future without stockholders’ approval. These additional shares may be utilized for a variety of corporate purposes, including future public offerings to raise additional capital, corporate acquisitions and employee benefit plans. The existence of authorized but unissued shares of common stock could render more difficult or discourage an attempt to obtain control of a majority of our common stock by means of a proxy contest, tender offer, merger or otherwise.</w:t>
            </w:r>
          </w:p>
        </w:tc>
      </w:tr>
      <w:tr>
        <w:trPr/>
        <w:tc>
          <w:tcPr>
            <w:tcW w:w="215" w:type="dxa"/>
            <w:tcBorders/>
            <w:vAlign w:val="center"/>
          </w:tcPr>
          <w:p>
            <w:pPr>
              <w:pStyle w:val="TableContents"/>
              <w:bidi w:val="0"/>
              <w:spacing w:before="0" w:after="0"/>
              <w:ind w:left="0" w:right="0" w:hanging="0"/>
              <w:jc w:val="both"/>
              <w:rPr/>
            </w:pPr>
            <w:r>
              <w:rPr/>
              <w:t> </w:t>
            </w:r>
          </w:p>
        </w:tc>
        <w:tc>
          <w:tcPr>
            <w:tcW w:w="9990" w:type="dxa"/>
            <w:tcBorders/>
            <w:vAlign w:val="center"/>
          </w:tcPr>
          <w:p>
            <w:pPr>
              <w:pStyle w:val="TableContents"/>
              <w:bidi w:val="0"/>
              <w:spacing w:before="0" w:after="0"/>
              <w:ind w:left="0" w:right="0" w:hanging="0"/>
              <w:jc w:val="both"/>
              <w:rPr/>
            </w:pPr>
            <w:r>
              <w:rPr/>
              <w:t> </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Number of Directors</w:t>
            </w:r>
            <w:r>
              <w:rPr>
                <w:rFonts w:ascii="times new roman" w:hAnsi="times new roman"/>
                <w:sz w:val="20"/>
              </w:rPr>
              <w:t>. The number of members of the Board of Directors shall never be less than one and so long as the Shareholder Agreement (discussed below) is in effect the number of directors of the Corporation may not be changed, whether by amendment to the Bylaws of the Corporation or otherwise, if doing so would violate any covenant of the Corporation in the Shareholder Agreement. Additionally, the Bylaws provide that the number of directors shall be five (5), provided that the Board of Directors may, pursuant to a resolution adopted by a majority of the Board, fix a greater number of directors from time to time; provided that, so long as the Shareholder Agreement is in effect, and as of the date of any proposed increase in the number of directors, the Company is in compliance with the Shareholder Agreement.</w:t>
            </w:r>
          </w:p>
        </w:tc>
      </w:tr>
      <w:tr>
        <w:trPr/>
        <w:tc>
          <w:tcPr>
            <w:tcW w:w="215" w:type="dxa"/>
            <w:tcBorders/>
            <w:vAlign w:val="center"/>
          </w:tcPr>
          <w:p>
            <w:pPr>
              <w:pStyle w:val="TableContents"/>
              <w:bidi w:val="0"/>
              <w:spacing w:before="0" w:after="0"/>
              <w:ind w:left="0" w:right="0" w:hanging="0"/>
              <w:jc w:val="both"/>
              <w:rPr/>
            </w:pPr>
            <w:r>
              <w:rPr/>
              <w:t> </w:t>
            </w:r>
          </w:p>
        </w:tc>
        <w:tc>
          <w:tcPr>
            <w:tcW w:w="9990" w:type="dxa"/>
            <w:tcBorders/>
            <w:vAlign w:val="center"/>
          </w:tcPr>
          <w:p>
            <w:pPr>
              <w:pStyle w:val="TableContents"/>
              <w:bidi w:val="0"/>
              <w:spacing w:before="0" w:after="0"/>
              <w:ind w:left="0" w:right="0" w:hanging="0"/>
              <w:jc w:val="both"/>
              <w:rPr/>
            </w:pPr>
            <w:r>
              <w:rPr/>
              <w:t> </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Chairman of the Board of Directors. </w:t>
            </w:r>
            <w:r>
              <w:rPr>
                <w:rFonts w:ascii="times new roman" w:hAnsi="times new roman"/>
                <w:sz w:val="20"/>
              </w:rPr>
              <w:t>Subject to the terms of the Shareholder Agreement, the directors may from time to time elect from their number a Chairman of the Board of Directors.</w:t>
            </w:r>
          </w:p>
        </w:tc>
      </w:tr>
      <w:tr>
        <w:trPr/>
        <w:tc>
          <w:tcPr>
            <w:tcW w:w="215" w:type="dxa"/>
            <w:tcBorders/>
            <w:vAlign w:val="center"/>
          </w:tcPr>
          <w:p>
            <w:pPr>
              <w:pStyle w:val="TableContents"/>
              <w:bidi w:val="0"/>
              <w:spacing w:before="0" w:after="0"/>
              <w:ind w:left="0" w:right="0" w:hanging="0"/>
              <w:jc w:val="both"/>
              <w:rPr/>
            </w:pPr>
            <w:r>
              <w:rPr/>
              <w:t> </w:t>
            </w:r>
          </w:p>
        </w:tc>
        <w:tc>
          <w:tcPr>
            <w:tcW w:w="9990" w:type="dxa"/>
            <w:tcBorders/>
            <w:vAlign w:val="center"/>
          </w:tcPr>
          <w:p>
            <w:pPr>
              <w:pStyle w:val="TableContents"/>
              <w:bidi w:val="0"/>
              <w:spacing w:before="0" w:after="0"/>
              <w:ind w:left="0" w:right="0" w:hanging="0"/>
              <w:jc w:val="both"/>
              <w:rPr/>
            </w:pPr>
            <w:r>
              <w:rPr/>
              <w:t> </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Quorum. </w:t>
            </w:r>
            <w:r>
              <w:rPr>
                <w:rFonts w:ascii="times new roman" w:hAnsi="times new roman"/>
                <w:sz w:val="20"/>
              </w:rPr>
              <w:t>A majority of the directors then in office shall constitute a quorum for all purposes at any meeting of the Board of Directors; provided, that, for so long as a Juniper Director (defined below) that is not an independent director serves on the Board of Directors, at least one such Juniper Director must be present at such meeting to constitute a quorum.</w:t>
            </w:r>
          </w:p>
        </w:tc>
      </w:tr>
      <w:tr>
        <w:trPr/>
        <w:tc>
          <w:tcPr>
            <w:tcW w:w="215" w:type="dxa"/>
            <w:tcBorders/>
            <w:vAlign w:val="center"/>
          </w:tcPr>
          <w:p>
            <w:pPr>
              <w:pStyle w:val="TableContents"/>
              <w:bidi w:val="0"/>
              <w:spacing w:before="0" w:after="0"/>
              <w:ind w:left="0" w:right="0" w:hanging="0"/>
              <w:jc w:val="both"/>
              <w:rPr/>
            </w:pPr>
            <w:r>
              <w:rPr/>
              <w:t> </w:t>
            </w:r>
          </w:p>
        </w:tc>
        <w:tc>
          <w:tcPr>
            <w:tcW w:w="9990" w:type="dxa"/>
            <w:tcBorders/>
            <w:vAlign w:val="center"/>
          </w:tcPr>
          <w:p>
            <w:pPr>
              <w:pStyle w:val="TableContents"/>
              <w:bidi w:val="0"/>
              <w:spacing w:before="0" w:after="0"/>
              <w:ind w:left="0" w:right="0" w:hanging="0"/>
              <w:jc w:val="both"/>
              <w:rPr/>
            </w:pPr>
            <w:r>
              <w:rPr/>
              <w:t> </w:t>
            </w:r>
          </w:p>
        </w:tc>
      </w:tr>
      <w:tr>
        <w:trPr/>
        <w:tc>
          <w:tcPr>
            <w:tcW w:w="215" w:type="dxa"/>
            <w:tcBorders/>
            <w:vAlign w:val="center"/>
          </w:tcPr>
          <w:p>
            <w:pPr>
              <w:pStyle w:val="TableContents"/>
              <w:bidi w:val="0"/>
              <w:spacing w:before="0" w:after="0"/>
              <w:ind w:left="0" w:right="0" w:hanging="0"/>
              <w:jc w:val="both"/>
              <w:rPr/>
            </w:pPr>
            <w:r>
              <w:rPr/>
              <w:t>●</w:t>
            </w:r>
          </w:p>
        </w:tc>
        <w:tc>
          <w:tcPr>
            <w:tcW w:w="9990" w:type="dxa"/>
            <w:tcBorders/>
            <w:vAlign w:val="center"/>
          </w:tcPr>
          <w:p>
            <w:pPr>
              <w:pStyle w:val="TableContents"/>
              <w:bidi w:val="0"/>
              <w:spacing w:before="0" w:after="0"/>
              <w:ind w:left="0" w:right="0" w:hanging="0"/>
              <w:jc w:val="both"/>
              <w:rPr/>
            </w:pPr>
            <w:r>
              <w:rPr>
                <w:rStyle w:val="Emphasis"/>
                <w:rFonts w:ascii="times new roman" w:hAnsi="times new roman"/>
                <w:sz w:val="20"/>
              </w:rPr>
              <w:t>Selection of Committee Members</w:t>
            </w:r>
            <w:r>
              <w:rPr>
                <w:rFonts w:ascii="times new roman" w:hAnsi="times new roman"/>
                <w:sz w:val="20"/>
              </w:rPr>
              <w:t>. Each committee shall consist of such number of directors, with such qualifications, as may be required by applicable laws, regulations or stock exchange rules or as from time to time may be fixed by the Board of Directors; provided that, so long as the Shareholder Agreement is in effect, the Board of Directors may not designate a committee or its members in a manner that would violate any covenant of the Company in the Shareholder Agreement.</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Shareholder Agreement</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October 31, 2025, the Company entered into a Shareholder Agreement with (a) Century and (b) North Peak, and solely for purposes of certain limited provisions of the Shareholder Agreement, Dr. Simon G. Kukes, the then Executive Chairman of the Company and The SGK 2018 Revocable Trust, which is a family trust of which Dr. Kukes serves as trustee and beneficiary (the “</w:t>
      </w:r>
      <w:r>
        <w:rPr>
          <w:rFonts w:ascii="times new roman" w:hAnsi="times new roman"/>
          <w:sz w:val="20"/>
          <w:u w:val="single"/>
        </w:rPr>
        <w:t>Shareholder Agreement Shareholders</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0" w:right="0" w:hanging="0"/>
        <w:jc w:val="both"/>
        <w:rPr/>
      </w:pPr>
      <w:r>
        <w:rPr>
          <w:rStyle w:val="Emphasis"/>
          <w:rFonts w:ascii="times new roman" w:hAnsi="times new roman"/>
          <w:sz w:val="20"/>
        </w:rPr>
        <w:t>Board Nomination Rights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Shareholder Agreement provides that the Board of Directors (the “</w:t>
      </w:r>
      <w:r>
        <w:rPr>
          <w:rFonts w:ascii="times new roman" w:hAnsi="times new roman"/>
          <w:sz w:val="20"/>
          <w:u w:val="single"/>
        </w:rPr>
        <w:t>Board</w:t>
      </w:r>
      <w:r>
        <w:rPr>
          <w:rFonts w:ascii="times new roman" w:hAnsi="times new roman"/>
          <w:sz w:val="20"/>
        </w:rPr>
        <w:t>”) will consist of six directors or such other number as approved by the Board in accordance with the organizational documents of the Company and the Shareholder Agreement and be constituted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326"/>
        <w:gridCol w:w="9774"/>
      </w:tblGrid>
      <w:tr>
        <w:trPr/>
        <w:tc>
          <w:tcPr>
            <w:tcW w:w="105"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three Directors nominated by the Juniper Shareholder (each, a “</w:t>
            </w:r>
            <w:r>
              <w:rPr>
                <w:rFonts w:ascii="times new roman" w:hAnsi="times new roman"/>
                <w:sz w:val="20"/>
                <w:u w:val="single"/>
              </w:rPr>
              <w:t>Juniper Director</w:t>
            </w:r>
            <w:r>
              <w:rPr>
                <w:rFonts w:ascii="times new roman" w:hAnsi="times new roman"/>
                <w:sz w:val="20"/>
              </w:rPr>
              <w:t>” and together, the “</w:t>
            </w:r>
            <w:r>
              <w:rPr>
                <w:rFonts w:ascii="times new roman" w:hAnsi="times new roman"/>
                <w:sz w:val="20"/>
                <w:u w:val="single"/>
              </w:rPr>
              <w:t>Juniper Directors</w:t>
            </w:r>
            <w:r>
              <w:rPr>
                <w:rFonts w:ascii="times new roman" w:hAnsi="times new roman"/>
                <w:sz w:val="20"/>
              </w:rPr>
              <w:t>”), which must include at least one independent director;</w:t>
            </w:r>
          </w:p>
        </w:tc>
      </w:tr>
      <w:tr>
        <w:trPr/>
        <w:tc>
          <w:tcPr>
            <w:tcW w:w="105"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 </w:t>
            </w:r>
          </w:p>
        </w:tc>
        <w:tc>
          <w:tcPr>
            <w:tcW w:w="9774"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(ii)</w:t>
            </w:r>
          </w:p>
        </w:tc>
        <w:tc>
          <w:tcPr>
            <w:tcW w:w="97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two Directors, as nominated by the Corporate Governance and Nominating Committee of the Board (the “</w:t>
            </w:r>
            <w:r>
              <w:rPr>
                <w:rFonts w:ascii="times new roman" w:hAnsi="times new roman"/>
                <w:sz w:val="20"/>
                <w:u w:val="single"/>
              </w:rPr>
              <w:t>Governance Committee</w:t>
            </w:r>
            <w:r>
              <w:rPr>
                <w:rFonts w:ascii="times new roman" w:hAnsi="times new roman"/>
                <w:sz w:val="20"/>
              </w:rPr>
              <w:t>”), which must include at least one independent director; and</w:t>
            </w:r>
          </w:p>
        </w:tc>
      </w:tr>
      <w:tr>
        <w:trPr/>
        <w:tc>
          <w:tcPr>
            <w:tcW w:w="105"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 </w:t>
            </w:r>
          </w:p>
        </w:tc>
        <w:tc>
          <w:tcPr>
            <w:tcW w:w="9774"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(iii)</w:t>
            </w:r>
          </w:p>
        </w:tc>
        <w:tc>
          <w:tcPr>
            <w:tcW w:w="97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one independent director mutually agreed in writing by the Juniper Shareholder and the Governance Committee (other than the Juniper Directors then-serving on the Governance Committee).</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right of the Juniper Shareholder to nominate Juniper Directors pursuant to the Shareholder Agreement will depend on its, together with its affiliates’, ownership of 6,861,564 shares of Company common stock issued to the Juniper Shareholder and its affiliates on February 27, 2026, on the applicable date of determination, as measured relative to a total of 13,300,815 shares of common stock issued and outstanding on February 27, 2026 (“</w:t>
      </w:r>
      <w:r>
        <w:rPr>
          <w:rFonts w:ascii="times new roman" w:hAnsi="times new roman"/>
          <w:sz w:val="20"/>
          <w:u w:val="single"/>
        </w:rPr>
        <w:t>Juniper Beneficial Ownership</w:t>
      </w:r>
      <w:r>
        <w:rPr>
          <w:rFonts w:ascii="times new roman" w:hAnsi="times new roman"/>
          <w:sz w:val="20"/>
        </w:rPr>
        <w:t>”), as follows: if Juniper Beneficial Ownership is 50% or more, the Juniper Shareholder may nominate three Juniper Directors, including one which must be an independent director; if Juniper Beneficial Ownership is between 30% and 49.9%, the Juniper Shareholder may nominate two Juniper Directors; if Juniper Beneficial Ownership is between 10% and 29.9%, the Juniper Shareholder may nominate one Juniper Director; and if Juniper Beneficial Ownership is less than 10%, the Juniper Shareholder loses the right to nominate any Juniper Directors.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nomination of such Juniper Directors is subject to such persons not being prohibited from serving as a member of the Board. In the event any Juniper Director ceases serving as a member of the Board for any reason, the Juniper Shareholder has the right to designate a replacement, and subject to certain customary exceptions, the Board is required to take all reasonable actions within its control to appoint such replacement person as a member of the Board of the Company to fill such vacancy. The Juniper Shareholder also has the right to remove any Juniper Director at any time for any reason.</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Board is prohibited from increasing or decreasing the number of members of the Board without the affirmative vote of a majority of the independent directors then on the Board that are not Juniper Directors, and the written consent of the Juniper Shareholder.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Each Juniper Director nominee must, in the good faith determination of the Board or the Governance Committee, (i) be suitable to serve on the Board in accordance with customary standards of suitability for directors of NYSE-listed companies; (ii) not be prohibited from serving as a director pursuant to any rule or regulation of the SEC or any national securities exchange on which the Company’s common stock is listed or admitted to trading; and (iii) not be subject to any order, decree or judgment of any domestic (including federal, state or local) or foreign court, arbitrator, administrative, regulatory or other governmental department, agency, official, commission, tribunal, authority or instrumentality, non-government authority or self-regulatory body (including any domestic or foreign securities exchange) prohibiting service as a director of any public company.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for so long as the Juniper Shareholder is entitled to designate at least one Juniper Director, the Shareholder Agreement provides that at least one Juniper Director shall serve as a member of each committee of the Board (other than the audit committee of the Board) and a Juniper Director shall be designated as the chairperson of the Compensation Committee and the Governance Committee, subject to certain limited exceptions.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Fonts w:ascii="times new roman" w:hAnsi="times new roman"/>
          <w:sz w:val="20"/>
        </w:rPr>
        <w:t>The Shareholder Agreement included additional registration and other rights which are set forth above under “</w:t>
      </w:r>
      <w:r>
        <w:rPr>
          <w:rStyle w:val="Emphasis"/>
          <w:rFonts w:ascii="times new roman" w:hAnsi="times new roman"/>
          <w:sz w:val="20"/>
          <w:u w:val="single"/>
        </w:rPr>
        <w:t>Prospectus Summary—Our Company—Registration Rights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2" w:name="LEGALMATTERS"/>
      <w:bookmarkEnd w:id="12"/>
      <w:r>
        <w:rPr>
          <w:rStyle w:val="StrongEmphasis"/>
          <w:rFonts w:ascii="times new roman" w:hAnsi="times new roman"/>
          <w:sz w:val="20"/>
        </w:rPr>
        <w:t>LEGAL MATTERS</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validity of the securities offered by this prospectus has been passed upon for us by The Loev Law Firm, PC., Bellaire, Texas.</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3" w:name="expets"/>
      <w:bookmarkEnd w:id="13"/>
      <w:r>
        <w:rPr>
          <w:rStyle w:val="StrongEmphasis"/>
          <w:rFonts w:ascii="times new roman" w:hAnsi="times new roman"/>
          <w:sz w:val="20"/>
        </w:rPr>
        <w:t>EXPERTS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consolidated financial statements of PEDEVCO Corp. and subsidiaries as of December 31, 2025 and 2024, and for each of the years in the two-year period ended December 31, 2025, incorporated by reference into this prospectus and the Registration Statement of which this prospectus forms a part, have been so incorporated in reliance upon the report of Weaver and Tidwell, L.L.P., an independent registered public accounting firm, given on the authority of said firm as experts in accounting and auditing.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consolidated financial statements of North Peak Oil and Gas as of December 31, 2024 and 2023 and for the years then ended and the related notes, are incorporated into this prospectus by reference from the Current Report on Form 8-K/A (Amendment No. 2) of the Company filed with the SEC on January 9, 2026, have been audited by Whitley Penn LLP, an independent registered public accounting firm, as set forth in their report thereon, and have been incorporated into this prospectus and the Registration Statement of which this prospectus forms a part, in reliance upon such reports given on the authority of such firm as an expert in accounting and auditing.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information incorporated by reference into this prospectus regarding PEDEVCO’s estimated quantities of total proved reserves and the future net revenues from those reserves as of December 31, 2025 is based on the proved reserve report prepared by Cawley, Gillespie &amp; Associates, Inc., PEDEVCO’s independent petroleum engineers. These estimates are incorporated by reference into this prospectus and the Registration Statement of which this prospectus forms a part, in reliance upon the authority of such firm as an expert in these matters.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 expert or counsel named in this prospectus as having prepared or certified any part of this prospectus or having given an opinion upon the validity of the securities being registered or upon other legal matters in connection with the registration or offering of the securities was employed on a contingency basis, or had, or is to receive, any interest, directly or indirectly, in our Company or any of our parents or subsidiaries, nor was any such person connected with us or any of our parents or subsidiaries, if any, as a promoter, managing or principal underwriter, voting trustee, director, officer, or employee.</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4" w:name="WHEREYOUCAN"/>
      <w:bookmarkEnd w:id="14"/>
      <w:r>
        <w:rPr>
          <w:rStyle w:val="StrongEmphasis"/>
          <w:rFonts w:ascii="times new roman" w:hAnsi="times new roman"/>
          <w:sz w:val="20"/>
        </w:rPr>
        <w:t>WHERE YOU CAN FIND MORE INFORMATION</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filed with the SEC a registration statement on Form S-3 under the Securities Act with respect to the securities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or statements regarding, any of our contracts or other documents are not necessarily complete, and you should refer to the exhibits attached to the registration statement for copies of the actual contract or document. Each of these references and statements is qualified in all respects by this reference.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are subject to the reporting and information requirements of the Exchange Act and, as a result, we file periodic and current reports, proxy statements and other information with the SEC. Our filings with the SEC are available free of charge to the public on the SEC’s website at </w:t>
      </w:r>
      <w:r>
        <w:rPr>
          <w:rFonts w:ascii="times new roman" w:hAnsi="times new roman"/>
          <w:sz w:val="20"/>
          <w:u w:val="single"/>
        </w:rPr>
        <w:t>http://www.sec.gov</w:t>
      </w:r>
      <w:r>
        <w:rPr>
          <w:rFonts w:ascii="times new roman" w:hAnsi="times new roman"/>
          <w:sz w:val="20"/>
        </w:rPr>
        <w:t>. Those filings are also available free of charge to the public on, or accessible through our website at </w:t>
      </w:r>
      <w:r>
        <w:rPr>
          <w:rFonts w:ascii="times new roman" w:hAnsi="times new roman"/>
          <w:sz w:val="20"/>
          <w:u w:val="single"/>
        </w:rPr>
        <w:t>https://www.pedevco.com/sec-filings.</w:t>
      </w:r>
      <w:r>
        <w:rPr>
          <w:rFonts w:ascii="times new roman" w:hAnsi="times new roman"/>
          <w:sz w:val="20"/>
        </w:rPr>
        <w:t> The information we file with the SEC or contained on or accessible through our corporate website or any other website that we may maintain is not part of this prospectus or the registration statement of which this prospectus is a part.</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5" w:name="INCORPORATIONOFCERTAINDOCUMENTS"/>
      <w:bookmarkEnd w:id="15"/>
      <w:r>
        <w:rPr>
          <w:rStyle w:val="StrongEmphasis"/>
          <w:rFonts w:ascii="times new roman" w:hAnsi="times new roman"/>
          <w:sz w:val="20"/>
        </w:rPr>
        <w:t>INCORPORATION OF CERTAIN DOCUMENTS BY REFERENCE</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SEC allows us to “incorporate by reference” into this prospectus the information in other documents that we file with it. This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incorporate by reference in this prospectus the documents and filings (other than current reports, or portions thereof, furnished under Item 2.02 or Item 7.01 of Form 8-K and exhibits filed on such form that are related to such items) that: (i) are listed below; (ii) are filed by us with the SEC pursuant to Sections 13(a), 13(c), 14 or 15(d) of the Exchange Act after the date of the initial registration statement of which this prospectus forms a part and prior to effectiveness of such registration statement; and (iii) we file in the future with the SEC under Sections 13(a), 13(c), 14 or 15(d) of the Exchange Act after effectiveness of such registration statement and prior to the time that all securities covered by this prospectus have been sold or the offering is otherwise terminated; provided, however, that we are not incorporating any documents or information deemed to have been furnished and not filed in accordance with SEC rules: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50"/>
        <w:gridCol w:w="9850"/>
      </w:tblGrid>
      <w:tr>
        <w:trPr/>
        <w:tc>
          <w:tcPr>
            <w:tcW w:w="105" w:type="dxa"/>
            <w:tcBorders/>
            <w:vAlign w:val="center"/>
          </w:tcPr>
          <w:p>
            <w:pPr>
              <w:pStyle w:val="TableContents"/>
              <w:bidi w:val="0"/>
              <w:spacing w:before="0" w:after="0"/>
              <w:ind w:left="0" w:right="0" w:hanging="0"/>
              <w:jc w:val="both"/>
              <w:rPr/>
            </w:pPr>
            <w:r>
              <w:rPr/>
              <w:t> </w:t>
            </w:r>
          </w:p>
        </w:tc>
        <w:tc>
          <w:tcPr>
            <w:tcW w:w="2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850" w:type="dxa"/>
            <w:tcBorders/>
            <w:vAlign w:val="center"/>
          </w:tcPr>
          <w:p>
            <w:pPr>
              <w:pStyle w:val="TableContents"/>
              <w:bidi w:val="0"/>
              <w:spacing w:before="0" w:after="0"/>
              <w:ind w:left="0" w:right="0" w:hanging="0"/>
              <w:jc w:val="both"/>
              <w:rPr/>
            </w:pPr>
            <w:r>
              <w:rPr>
                <w:rFonts w:ascii="times new roman" w:hAnsi="times new roman"/>
                <w:sz w:val="20"/>
              </w:rPr>
              <w:t xml:space="preserve">Our Annual Report on Form 10-K for the year ended December 31, 2025, filed with the Commission on </w:t>
            </w:r>
            <w:hyperlink r:id="rId3">
              <w:r>
                <w:rPr>
                  <w:rStyle w:val="InternetLink"/>
                  <w:rFonts w:ascii="times new roman" w:hAnsi="times new roman"/>
                  <w:sz w:val="20"/>
                </w:rPr>
                <w:t>March 31, 2026</w:t>
              </w:r>
            </w:hyperlink>
            <w:r>
              <w:rPr>
                <w:rFonts w:ascii="times new roman" w:hAnsi="times new roman"/>
                <w:sz w:val="20"/>
              </w:rPr>
              <w:t xml:space="preserve"> (File No. 001-35922);</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29"/>
        <w:gridCol w:w="9871"/>
      </w:tblGrid>
      <w:tr>
        <w:trPr/>
        <w:tc>
          <w:tcPr>
            <w:tcW w:w="105" w:type="dxa"/>
            <w:tcBorders/>
            <w:vAlign w:val="center"/>
          </w:tcPr>
          <w:p>
            <w:pPr>
              <w:pStyle w:val="TableContents"/>
              <w:bidi w:val="0"/>
              <w:spacing w:before="0" w:after="0"/>
              <w:ind w:left="0" w:right="0" w:hanging="0"/>
              <w:jc w:val="both"/>
              <w:rPr/>
            </w:pPr>
            <w:r>
              <w:rPr/>
              <w:t> </w:t>
            </w:r>
          </w:p>
        </w:tc>
        <w:tc>
          <w:tcPr>
            <w:tcW w:w="22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871" w:type="dxa"/>
            <w:tcBorders/>
            <w:vAlign w:val="center"/>
          </w:tcPr>
          <w:p>
            <w:pPr>
              <w:pStyle w:val="TableContents"/>
              <w:bidi w:val="0"/>
              <w:spacing w:before="0" w:after="0"/>
              <w:ind w:left="0" w:right="0" w:hanging="0"/>
              <w:jc w:val="both"/>
              <w:rPr/>
            </w:pPr>
            <w:r>
              <w:rPr>
                <w:rFonts w:ascii="times new roman" w:hAnsi="times new roman"/>
                <w:sz w:val="20"/>
              </w:rPr>
              <w:t xml:space="preserve">Our Quarterly Report on Form 10-Q for the quarter ended March 31, 2026, filed with the Commission on </w:t>
            </w:r>
            <w:hyperlink r:id="rId4">
              <w:r>
                <w:rPr>
                  <w:rStyle w:val="InternetLink"/>
                  <w:rFonts w:ascii="times new roman" w:hAnsi="times new roman"/>
                  <w:sz w:val="20"/>
                </w:rPr>
                <w:t>May 14, 2026</w:t>
              </w:r>
            </w:hyperlink>
            <w:r>
              <w:rPr>
                <w:rFonts w:ascii="times new roman" w:hAnsi="times new roman"/>
                <w:sz w:val="20"/>
              </w:rPr>
              <w:t xml:space="preserve">, and our Quarterly Report on Form 10-Q for the quarter ended June 30, 2026, filed with the Commission on </w:t>
            </w:r>
            <w:hyperlink r:id="rId5">
              <w:r>
                <w:rPr>
                  <w:rStyle w:val="InternetLink"/>
                  <w:rFonts w:ascii="times new roman" w:hAnsi="times new roman"/>
                  <w:sz w:val="20"/>
                </w:rPr>
                <w:t>August 13, 2026</w:t>
              </w:r>
            </w:hyperlink>
            <w:r>
              <w:rPr>
                <w:rFonts w:ascii="times new roman" w:hAnsi="times new roman"/>
                <w:sz w:val="20"/>
              </w:rPr>
              <w:t xml:space="preserve"> (File No. 001-35922);</w:t>
            </w:r>
          </w:p>
        </w:tc>
      </w:tr>
      <w:tr>
        <w:trPr/>
        <w:tc>
          <w:tcPr>
            <w:tcW w:w="105" w:type="dxa"/>
            <w:tcBorders/>
            <w:vAlign w:val="center"/>
          </w:tcPr>
          <w:p>
            <w:pPr>
              <w:pStyle w:val="TableContents"/>
              <w:bidi w:val="0"/>
              <w:spacing w:before="0" w:after="0"/>
              <w:ind w:left="0" w:right="0" w:hanging="0"/>
              <w:jc w:val="both"/>
              <w:rPr/>
            </w:pPr>
            <w:r>
              <w:rPr/>
              <w:t> </w:t>
            </w:r>
          </w:p>
        </w:tc>
        <w:tc>
          <w:tcPr>
            <w:tcW w:w="229" w:type="dxa"/>
            <w:tcBorders/>
            <w:vAlign w:val="center"/>
          </w:tcPr>
          <w:p>
            <w:pPr>
              <w:pStyle w:val="TableContents"/>
              <w:bidi w:val="0"/>
              <w:spacing w:before="0" w:after="0"/>
              <w:ind w:left="0" w:right="0" w:hanging="0"/>
              <w:jc w:val="both"/>
              <w:rPr/>
            </w:pPr>
            <w:r>
              <w:rPr/>
              <w:t> </w:t>
            </w:r>
          </w:p>
        </w:tc>
        <w:tc>
          <w:tcPr>
            <w:tcW w:w="9871"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2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871" w:type="dxa"/>
            <w:tcBorders/>
            <w:vAlign w:val="center"/>
          </w:tcPr>
          <w:p>
            <w:pPr>
              <w:pStyle w:val="TableContents"/>
              <w:bidi w:val="0"/>
              <w:spacing w:before="0" w:after="0"/>
              <w:ind w:left="0" w:right="0" w:hanging="0"/>
              <w:jc w:val="both"/>
              <w:rPr/>
            </w:pPr>
            <w:r>
              <w:rPr>
                <w:rFonts w:ascii="times new roman" w:hAnsi="times new roman"/>
                <w:sz w:val="20"/>
              </w:rPr>
              <w:t xml:space="preserve">Our Definitive Proxy Statement on Schedule 14A (subject to the provisions thereof which provide that they are not incorporated by reference into Securities Act filings), filed with the Commission on </w:t>
            </w:r>
            <w:hyperlink r:id="rId6">
              <w:r>
                <w:rPr>
                  <w:rStyle w:val="InternetLink"/>
                  <w:rFonts w:ascii="times new roman" w:hAnsi="times new roman"/>
                  <w:sz w:val="20"/>
                </w:rPr>
                <w:t>July 15, 2026</w:t>
              </w:r>
            </w:hyperlink>
            <w:r>
              <w:rPr>
                <w:rFonts w:ascii="times new roman" w:hAnsi="times new roman"/>
                <w:sz w:val="20"/>
              </w:rPr>
              <w:t xml:space="preserve">, as supplemented by Supplement No. 1 thereto filed with the Commission on </w:t>
            </w:r>
            <w:hyperlink r:id="rId7">
              <w:r>
                <w:rPr>
                  <w:rStyle w:val="InternetLink"/>
                  <w:rFonts w:ascii="times new roman" w:hAnsi="times new roman"/>
                  <w:sz w:val="20"/>
                </w:rPr>
                <w:t>July 24, 2026</w:t>
              </w:r>
            </w:hyperlink>
            <w:r>
              <w:rPr>
                <w:rFonts w:ascii="times new roman" w:hAnsi="times new roman"/>
                <w:sz w:val="20"/>
              </w:rPr>
              <w:t xml:space="preserve"> (File No. 001-35922);</w:t>
            </w:r>
          </w:p>
        </w:tc>
      </w:tr>
      <w:tr>
        <w:trPr/>
        <w:tc>
          <w:tcPr>
            <w:tcW w:w="105" w:type="dxa"/>
            <w:tcBorders/>
            <w:vAlign w:val="center"/>
          </w:tcPr>
          <w:p>
            <w:pPr>
              <w:pStyle w:val="TableContents"/>
              <w:bidi w:val="0"/>
              <w:spacing w:before="0" w:after="0"/>
              <w:ind w:left="0" w:right="0" w:hanging="0"/>
              <w:jc w:val="both"/>
              <w:rPr/>
            </w:pPr>
            <w:r>
              <w:rPr/>
              <w:t> </w:t>
            </w:r>
          </w:p>
        </w:tc>
        <w:tc>
          <w:tcPr>
            <w:tcW w:w="229" w:type="dxa"/>
            <w:tcBorders/>
            <w:vAlign w:val="center"/>
          </w:tcPr>
          <w:p>
            <w:pPr>
              <w:pStyle w:val="TableContents"/>
              <w:bidi w:val="0"/>
              <w:spacing w:before="0" w:after="0"/>
              <w:ind w:left="0" w:right="0" w:hanging="0"/>
              <w:jc w:val="both"/>
              <w:rPr/>
            </w:pPr>
            <w:r>
              <w:rPr/>
              <w:t> </w:t>
            </w:r>
          </w:p>
        </w:tc>
        <w:tc>
          <w:tcPr>
            <w:tcW w:w="9871"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2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9871" w:type="dxa"/>
            <w:tcBorders/>
            <w:vAlign w:val="center"/>
          </w:tcPr>
          <w:p>
            <w:pPr>
              <w:pStyle w:val="TableContents"/>
              <w:bidi w:val="0"/>
              <w:spacing w:before="0" w:after="0"/>
              <w:ind w:left="0" w:right="0" w:hanging="0"/>
              <w:jc w:val="both"/>
              <w:rPr/>
            </w:pPr>
            <w:r>
              <w:rPr>
                <w:rFonts w:ascii="times new roman" w:hAnsi="times new roman"/>
                <w:sz w:val="20"/>
              </w:rPr>
              <w:t>Our Current Reports on Form 8-K and Form 8-K/A, as applicable (other than information furnished rather than filed) filed with the Commission on </w:t>
            </w:r>
            <w:hyperlink r:id="rId8">
              <w:r>
                <w:rPr>
                  <w:rStyle w:val="InternetLink"/>
                  <w:rFonts w:ascii="times new roman" w:hAnsi="times new roman"/>
                  <w:sz w:val="20"/>
                </w:rPr>
                <w:t>November 3, 2025</w:t>
              </w:r>
            </w:hyperlink>
            <w:r>
              <w:rPr>
                <w:rFonts w:ascii="times new roman" w:hAnsi="times new roman"/>
                <w:sz w:val="20"/>
              </w:rPr>
              <w:t xml:space="preserve">, </w:t>
            </w:r>
            <w:hyperlink r:id="rId9">
              <w:r>
                <w:rPr>
                  <w:rStyle w:val="InternetLink"/>
                  <w:rFonts w:ascii="times new roman" w:hAnsi="times new roman"/>
                  <w:sz w:val="20"/>
                </w:rPr>
                <w:t>December 23, 2025</w:t>
              </w:r>
            </w:hyperlink>
            <w:r>
              <w:rPr>
                <w:rFonts w:ascii="times new roman" w:hAnsi="times new roman"/>
                <w:sz w:val="20"/>
              </w:rPr>
              <w:t xml:space="preserve">, </w:t>
            </w:r>
            <w:hyperlink r:id="rId10">
              <w:r>
                <w:rPr>
                  <w:rStyle w:val="InternetLink"/>
                  <w:rFonts w:ascii="times new roman" w:hAnsi="times new roman"/>
                  <w:sz w:val="20"/>
                </w:rPr>
                <w:t>January 9, 2026</w:t>
              </w:r>
            </w:hyperlink>
            <w:r>
              <w:rPr>
                <w:rFonts w:ascii="times new roman" w:hAnsi="times new roman"/>
                <w:sz w:val="20"/>
              </w:rPr>
              <w:t xml:space="preserve">, </w:t>
            </w:r>
            <w:hyperlink r:id="rId11">
              <w:r>
                <w:rPr>
                  <w:rStyle w:val="InternetLink"/>
                  <w:rFonts w:ascii="times new roman" w:hAnsi="times new roman"/>
                  <w:sz w:val="20"/>
                </w:rPr>
                <w:t>January 9, 2026</w:t>
              </w:r>
            </w:hyperlink>
            <w:r>
              <w:rPr>
                <w:rFonts w:ascii="times new roman" w:hAnsi="times new roman"/>
                <w:sz w:val="20"/>
              </w:rPr>
              <w:t xml:space="preserve">, </w:t>
            </w:r>
            <w:hyperlink r:id="rId12">
              <w:r>
                <w:rPr>
                  <w:rStyle w:val="InternetLink"/>
                  <w:rFonts w:ascii="times new roman" w:hAnsi="times new roman"/>
                  <w:sz w:val="20"/>
                </w:rPr>
                <w:t>January 30, 2026</w:t>
              </w:r>
            </w:hyperlink>
            <w:r>
              <w:rPr>
                <w:rFonts w:ascii="times new roman" w:hAnsi="times new roman"/>
                <w:sz w:val="20"/>
              </w:rPr>
              <w:t xml:space="preserve">, </w:t>
            </w:r>
            <w:hyperlink r:id="rId13">
              <w:r>
                <w:rPr>
                  <w:rStyle w:val="InternetLink"/>
                  <w:rFonts w:ascii="times new roman" w:hAnsi="times new roman"/>
                  <w:sz w:val="20"/>
                </w:rPr>
                <w:t>February 5, 2026</w:t>
              </w:r>
            </w:hyperlink>
            <w:r>
              <w:rPr>
                <w:rFonts w:ascii="times new roman" w:hAnsi="times new roman"/>
                <w:sz w:val="20"/>
              </w:rPr>
              <w:t xml:space="preserve">, </w:t>
            </w:r>
            <w:hyperlink r:id="rId14">
              <w:r>
                <w:rPr>
                  <w:rStyle w:val="InternetLink"/>
                  <w:rFonts w:ascii="times new roman" w:hAnsi="times new roman"/>
                  <w:sz w:val="20"/>
                </w:rPr>
                <w:t>February 25, 2026</w:t>
              </w:r>
            </w:hyperlink>
            <w:r>
              <w:rPr>
                <w:rFonts w:ascii="times new roman" w:hAnsi="times new roman"/>
                <w:sz w:val="20"/>
              </w:rPr>
              <w:t xml:space="preserve">, </w:t>
            </w:r>
            <w:hyperlink r:id="rId15">
              <w:r>
                <w:rPr>
                  <w:rStyle w:val="InternetLink"/>
                  <w:rFonts w:ascii="times new roman" w:hAnsi="times new roman"/>
                  <w:sz w:val="20"/>
                </w:rPr>
                <w:t>March 3, 2026</w:t>
              </w:r>
            </w:hyperlink>
            <w:r>
              <w:rPr>
                <w:rFonts w:ascii="times new roman" w:hAnsi="times new roman"/>
                <w:sz w:val="20"/>
              </w:rPr>
              <w:t xml:space="preserve">, </w:t>
            </w:r>
            <w:hyperlink r:id="rId16">
              <w:r>
                <w:rPr>
                  <w:rStyle w:val="InternetLink"/>
                  <w:rFonts w:ascii="times new roman" w:hAnsi="times new roman"/>
                  <w:sz w:val="20"/>
                </w:rPr>
                <w:t>March 3, 2026</w:t>
              </w:r>
            </w:hyperlink>
            <w:r>
              <w:rPr>
                <w:rFonts w:ascii="times new roman" w:hAnsi="times new roman"/>
                <w:sz w:val="20"/>
              </w:rPr>
              <w:t xml:space="preserve">, </w:t>
            </w:r>
            <w:hyperlink r:id="rId17">
              <w:r>
                <w:rPr>
                  <w:rStyle w:val="InternetLink"/>
                  <w:rFonts w:ascii="times new roman" w:hAnsi="times new roman"/>
                  <w:sz w:val="20"/>
                </w:rPr>
                <w:t>March 13, 2026</w:t>
              </w:r>
            </w:hyperlink>
            <w:r>
              <w:rPr>
                <w:rFonts w:ascii="times new roman" w:hAnsi="times new roman"/>
                <w:sz w:val="20"/>
              </w:rPr>
              <w:t xml:space="preserve">, </w:t>
            </w:r>
            <w:hyperlink r:id="rId18">
              <w:r>
                <w:rPr>
                  <w:rStyle w:val="InternetLink"/>
                  <w:rFonts w:ascii="times new roman" w:hAnsi="times new roman"/>
                  <w:sz w:val="20"/>
                </w:rPr>
                <w:t>May 8, 2026</w:t>
              </w:r>
            </w:hyperlink>
            <w:r>
              <w:rPr>
                <w:rFonts w:ascii="times new roman" w:hAnsi="times new roman"/>
                <w:sz w:val="20"/>
              </w:rPr>
              <w:t xml:space="preserve">, </w:t>
            </w:r>
            <w:hyperlink r:id="rId19">
              <w:r>
                <w:rPr>
                  <w:rStyle w:val="InternetLink"/>
                  <w:rFonts w:ascii="times new roman" w:hAnsi="times new roman"/>
                  <w:sz w:val="20"/>
                </w:rPr>
                <w:t>May 20, 2026</w:t>
              </w:r>
            </w:hyperlink>
            <w:r>
              <w:rPr>
                <w:rFonts w:ascii="times new roman" w:hAnsi="times new roman"/>
                <w:sz w:val="20"/>
              </w:rPr>
              <w:t xml:space="preserve">, </w:t>
            </w:r>
            <w:hyperlink r:id="rId20">
              <w:r>
                <w:rPr>
                  <w:rStyle w:val="InternetLink"/>
                  <w:rFonts w:ascii="times new roman" w:hAnsi="times new roman"/>
                  <w:sz w:val="20"/>
                </w:rPr>
                <w:t>June 24, 2026</w:t>
              </w:r>
            </w:hyperlink>
            <w:r>
              <w:rPr>
                <w:rFonts w:ascii="times new roman" w:hAnsi="times new roman"/>
                <w:sz w:val="20"/>
              </w:rPr>
              <w:t xml:space="preserve">, </w:t>
            </w:r>
            <w:hyperlink r:id="rId21">
              <w:r>
                <w:rPr>
                  <w:rStyle w:val="InternetLink"/>
                  <w:rFonts w:ascii="times new roman" w:hAnsi="times new roman"/>
                  <w:sz w:val="20"/>
                </w:rPr>
                <w:t>June 29, 2026</w:t>
              </w:r>
            </w:hyperlink>
            <w:r>
              <w:rPr>
                <w:rFonts w:ascii="times new roman" w:hAnsi="times new roman"/>
                <w:sz w:val="20"/>
              </w:rPr>
              <w:t xml:space="preserve">, </w:t>
            </w:r>
            <w:hyperlink r:id="rId22">
              <w:r>
                <w:rPr>
                  <w:rStyle w:val="InternetLink"/>
                  <w:rFonts w:ascii="times new roman" w:hAnsi="times new roman"/>
                  <w:sz w:val="20"/>
                </w:rPr>
                <w:t>July 17, 2026</w:t>
              </w:r>
            </w:hyperlink>
            <w:r>
              <w:rPr>
                <w:rFonts w:ascii="times new roman" w:hAnsi="times new roman"/>
                <w:sz w:val="20"/>
              </w:rPr>
              <w:t xml:space="preserve">, </w:t>
            </w:r>
            <w:hyperlink r:id="rId23">
              <w:r>
                <w:rPr>
                  <w:rStyle w:val="InternetLink"/>
                  <w:rFonts w:ascii="times new roman" w:hAnsi="times new roman"/>
                  <w:sz w:val="20"/>
                </w:rPr>
                <w:t>July 24, 2026</w:t>
              </w:r>
            </w:hyperlink>
            <w:r>
              <w:rPr>
                <w:rFonts w:ascii="times new roman" w:hAnsi="times new roman"/>
                <w:sz w:val="20"/>
              </w:rPr>
              <w:t xml:space="preserve"> and </w:t>
            </w:r>
            <w:hyperlink r:id="rId24">
              <w:r>
                <w:rPr>
                  <w:rStyle w:val="InternetLink"/>
                  <w:rFonts w:ascii="times new roman" w:hAnsi="times new roman"/>
                  <w:sz w:val="20"/>
                </w:rPr>
                <w:t>August 25, 2026</w:t>
              </w:r>
            </w:hyperlink>
            <w:r>
              <w:rPr>
                <w:rFonts w:ascii="times new roman" w:hAnsi="times new roman"/>
                <w:sz w:val="20"/>
              </w:rPr>
              <w:t xml:space="preserve"> (File No. 001-35922); and</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5"/>
        <w:gridCol w:w="226"/>
        <w:gridCol w:w="9874"/>
      </w:tblGrid>
      <w:tr>
        <w:trPr/>
        <w:tc>
          <w:tcPr>
            <w:tcW w:w="105" w:type="dxa"/>
            <w:tcBorders/>
            <w:vAlign w:val="center"/>
          </w:tcPr>
          <w:p>
            <w:pPr>
              <w:pStyle w:val="TableContents"/>
              <w:bidi w:val="0"/>
              <w:spacing w:before="0" w:after="0"/>
              <w:ind w:left="0" w:right="0" w:hanging="0"/>
              <w:jc w:val="both"/>
              <w:rPr/>
            </w:pPr>
            <w:r>
              <w:rPr/>
              <w:t> </w:t>
            </w:r>
          </w:p>
        </w:tc>
        <w:tc>
          <w:tcPr>
            <w:tcW w:w="22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w:t>
            </w:r>
          </w:p>
        </w:tc>
        <w:tc>
          <w:tcPr>
            <w:tcW w:w="9874" w:type="dxa"/>
            <w:tcBorders/>
            <w:vAlign w:val="center"/>
          </w:tcPr>
          <w:p>
            <w:pPr>
              <w:pStyle w:val="TableContents"/>
              <w:bidi w:val="0"/>
              <w:spacing w:before="0" w:after="0"/>
              <w:ind w:left="0" w:right="0" w:hanging="0"/>
              <w:jc w:val="both"/>
              <w:rPr/>
            </w:pPr>
            <w:r>
              <w:rPr>
                <w:rFonts w:ascii="times new roman" w:hAnsi="times new roman"/>
                <w:sz w:val="20"/>
              </w:rPr>
              <w:t>The description of the Company’s Common Stock contained in </w:t>
            </w:r>
            <w:hyperlink r:id="rId25">
              <w:r>
                <w:rPr>
                  <w:rStyle w:val="InternetLink"/>
                  <w:rFonts w:ascii="times new roman" w:hAnsi="times new roman"/>
                  <w:sz w:val="20"/>
                </w:rPr>
                <w:t>Exhibit 4.1</w:t>
              </w:r>
            </w:hyperlink>
            <w:r>
              <w:rPr>
                <w:rFonts w:ascii="times new roman" w:hAnsi="times new roman"/>
                <w:sz w:val="20"/>
              </w:rPr>
              <w:t> to the Annual Report on Form 10-K for the year ended December 31, 2025 (File No. 001-35922), including any amendment or report filed for the purpose of updating such description.</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will provide, without charge, to each person to whom a copy of this prospectus is delivered, including any beneficial owner, upon the written or oral request of such person, a copy of any or all of the documents incorporated by reference herein, including exhibits. Requests should be directed to:</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PEDEVCO Corp.</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Attention: Corporate Secretary</w:t>
      </w:r>
    </w:p>
    <w:p>
      <w:pPr>
        <w:pStyle w:val="TextBody"/>
        <w:bidi w:val="0"/>
        <w:spacing w:before="0" w:after="0"/>
        <w:ind w:left="0" w:right="0" w:firstLine="675"/>
        <w:jc w:val="both"/>
        <w:rPr>
          <w:rFonts w:ascii="times new roman" w:hAnsi="times new roman"/>
          <w:sz w:val="20"/>
        </w:rPr>
      </w:pPr>
      <w:r>
        <w:rPr>
          <w:rFonts w:ascii="times new roman" w:hAnsi="times new roman"/>
          <w:sz w:val="20"/>
        </w:rPr>
        <w:t>575 N. Dairy Ashford, Suite 210</w:t>
      </w:r>
    </w:p>
    <w:p>
      <w:pPr>
        <w:pStyle w:val="TextBody"/>
        <w:bidi w:val="0"/>
        <w:spacing w:before="0" w:after="0"/>
        <w:ind w:left="0" w:right="0" w:firstLine="675"/>
        <w:jc w:val="both"/>
        <w:rPr>
          <w:rFonts w:ascii="times new roman" w:hAnsi="times new roman"/>
          <w:sz w:val="20"/>
        </w:rPr>
      </w:pPr>
      <w:r>
        <w:rPr>
          <w:rFonts w:ascii="times new roman" w:hAnsi="times new roman"/>
          <w:sz w:val="20"/>
        </w:rPr>
        <w:t>Houston, Texas 77079</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Telephone (713) 221-1768.</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documents incorporated by reference may be accessed at our website at </w:t>
      </w:r>
      <w:r>
        <w:rPr>
          <w:rFonts w:ascii="times new roman" w:hAnsi="times new roman"/>
          <w:sz w:val="20"/>
          <w:u w:val="single"/>
        </w:rPr>
        <w:t>https://www.pedevco.com/sec-filings</w:t>
      </w:r>
      <w:r>
        <w:rPr>
          <w:rFonts w:ascii="times new roman" w:hAnsi="times new roman"/>
          <w:sz w:val="20"/>
        </w:rPr>
        <w:t>.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drawing>
          <wp:inline distT="0" distB="0" distL="0" distR="0">
            <wp:extent cx="293370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6"/>
                    <a:stretch>
                      <a:fillRect/>
                    </a:stretch>
                  </pic:blipFill>
                  <pic:spPr bwMode="auto">
                    <a:xfrm>
                      <a:off x="0" y="0"/>
                      <a:ext cx="2933700" cy="600075"/>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11,040,909</w:t>
      </w:r>
      <w:r>
        <w:rPr>
          <w:rFonts w:ascii="times new roman" w:hAnsi="times new roman"/>
          <w:sz w:val="20"/>
        </w:rPr>
        <w:t xml:space="preserve"> </w:t>
      </w:r>
      <w:r>
        <w:rPr>
          <w:rStyle w:val="StrongEmphasis"/>
          <w:rFonts w:ascii="times new roman" w:hAnsi="times new roman"/>
          <w:sz w:val="20"/>
        </w:rPr>
        <w:t>Shares of Common Stock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PRELIMINARY PROSPECTUS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_______________, 2026</w:t>
      </w:r>
    </w:p>
    <w:p>
      <w:pPr>
        <w:pStyle w:val="TextBody"/>
        <w:bidi w:val="0"/>
        <w:spacing w:before="0" w:after="0"/>
        <w:ind w:left="0" w:right="0" w:hanging="0"/>
        <w:jc w:val="lef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PART II</w:t>
      </w:r>
    </w:p>
    <w:p>
      <w:pPr>
        <w:pStyle w:val="TextBody"/>
        <w:bidi w:val="0"/>
        <w:spacing w:before="0" w:after="0"/>
        <w:ind w:left="0" w:right="0" w:hanging="0"/>
        <w:jc w:val="center"/>
        <w:rPr/>
      </w:pPr>
      <w:r>
        <w:rPr>
          <w:rStyle w:val="StrongEmphasis"/>
          <w:rFonts w:ascii="times new roman" w:hAnsi="times new roman"/>
          <w:sz w:val="20"/>
        </w:rPr>
        <w:t>INFORMATION NOT REQUIRED IN PROSPECTUS</w:t>
      </w:r>
    </w:p>
    <w:p>
      <w:pPr>
        <w:pStyle w:val="TextBody"/>
        <w:bidi w:val="0"/>
        <w:spacing w:before="0" w:after="0"/>
        <w:ind w:left="0" w:right="0" w:hanging="0"/>
        <w:jc w:val="center"/>
        <w:rPr/>
      </w:pPr>
      <w:r>
        <w:rPr/>
        <w:t> </w:t>
      </w:r>
    </w:p>
    <w:p>
      <w:pPr>
        <w:pStyle w:val="TextBody"/>
        <w:bidi w:val="0"/>
        <w:spacing w:before="0" w:after="0"/>
        <w:ind w:left="0" w:right="0" w:firstLine="675"/>
        <w:jc w:val="left"/>
        <w:rPr/>
      </w:pPr>
      <w:r>
        <w:rPr>
          <w:rStyle w:val="StrongEmphasis"/>
          <w:rFonts w:ascii="times new roman" w:hAnsi="times new roman"/>
          <w:sz w:val="20"/>
        </w:rPr>
        <w:t>Item 14.</w:t>
      </w:r>
      <w:r>
        <w:rPr>
          <w:rFonts w:ascii="times new roman" w:hAnsi="times new roman"/>
          <w:sz w:val="20"/>
        </w:rPr>
        <w:t xml:space="preserve"> </w:t>
      </w:r>
      <w:r>
        <w:rPr>
          <w:rStyle w:val="StrongEmphasis"/>
          <w:rFonts w:ascii="times new roman" w:hAnsi="times new roman"/>
          <w:sz w:val="20"/>
        </w:rPr>
        <w:t>Other Expenses of Issuance and Distribution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table sets forth the costs and expenses that have and will be paid by us in connection with the issuance and distribution of the securities being registered. We will not receive any proceeds from the sale of shares of common stock by the selling stockholders pursuant to this prospectus. However, we will pay the expenses, other than underwriting discounts and commissions and certain expenses incurred by the selling stockholders in disposing of the securities, associated with the sale of securities pursuant to this prospectus. In addition, we may incur additional expenses in the future in connection with the offering of our securities pursuant to this prospectus. If required, any such additional expenses will be disclosed in a prospectus supplement.</w:t>
      </w:r>
    </w:p>
    <w:p>
      <w:pPr>
        <w:pStyle w:val="TextBody"/>
        <w:bidi w:val="0"/>
        <w:spacing w:before="0" w:after="0"/>
        <w:ind w:left="0" w:right="0" w:hanging="0"/>
        <w:jc w:val="both"/>
        <w:rPr/>
      </w:pPr>
      <w:r>
        <w:rPr/>
        <w:t> </w:t>
      </w:r>
    </w:p>
    <w:p>
      <w:pPr>
        <w:pStyle w:val="TextBody"/>
        <w:bidi w:val="0"/>
        <w:spacing w:before="0" w:after="0"/>
        <w:ind w:left="0" w:right="0" w:firstLine="675"/>
        <w:jc w:val="left"/>
        <w:rPr/>
      </w:pPr>
      <w:r>
        <w:rPr>
          <w:rStyle w:val="Emphasis"/>
          <w:rFonts w:ascii="times new roman" w:hAnsi="times new roman"/>
          <w:sz w:val="20"/>
        </w:rPr>
        <w:t>All amounts are estimates, except for the SEC registration fee:</w:t>
      </w:r>
    </w:p>
    <w:p>
      <w:pPr>
        <w:pStyle w:val="TextBody"/>
        <w:bidi w:val="0"/>
        <w:spacing w:before="0" w:after="0"/>
        <w:ind w:left="0" w:right="0" w:hanging="0"/>
        <w:jc w:val="left"/>
        <w:rPr/>
      </w:pPr>
      <w:r>
        <w:rPr/>
        <w:t> </w:t>
      </w:r>
    </w:p>
    <w:tbl>
      <w:tblPr>
        <w:tblW w:w="5295" w:type="dxa"/>
        <w:jc w:val="left"/>
        <w:tblInd w:w="0" w:type="dxa"/>
        <w:tblLayout w:type="fixed"/>
        <w:tblCellMar>
          <w:top w:w="0" w:type="dxa"/>
          <w:left w:w="0" w:type="dxa"/>
          <w:bottom w:w="0" w:type="dxa"/>
          <w:right w:w="0" w:type="dxa"/>
        </w:tblCellMar>
      </w:tblPr>
      <w:tblGrid>
        <w:gridCol w:w="4190"/>
        <w:gridCol w:w="90"/>
        <w:gridCol w:w="170"/>
        <w:gridCol w:w="710"/>
        <w:gridCol w:w="135"/>
      </w:tblGrid>
      <w:tr>
        <w:trPr/>
        <w:tc>
          <w:tcPr>
            <w:tcW w:w="4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Registration Fee Under the Securities Act of 1933</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20,538</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Financial Printing and Miscellaneous Expenses (1)</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710" w:type="dxa"/>
            <w:tcBorders/>
            <w:shd w:fill="FFFFFF" w:val="clear"/>
            <w:vAlign w:val="center"/>
          </w:tcPr>
          <w:p>
            <w:pPr>
              <w:pStyle w:val="TableContents"/>
              <w:bidi w:val="0"/>
              <w:spacing w:before="0" w:after="283"/>
              <w:jc w:val="right"/>
              <w:rPr/>
            </w:pPr>
            <w:r>
              <w:rPr/>
              <w:t>9,462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Accounting Fees and Expenses (1)</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20,000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Legal Fees and Expenses (1)</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710" w:type="dxa"/>
            <w:tcBorders>
              <w:bottom w:val="single" w:sz="2" w:space="0" w:color="000000"/>
            </w:tcBorders>
            <w:shd w:fill="FFFFFF" w:val="clear"/>
            <w:tcMar>
              <w:bottom w:w="28" w:type="dxa"/>
            </w:tcMar>
            <w:vAlign w:val="center"/>
          </w:tcPr>
          <w:p>
            <w:pPr>
              <w:pStyle w:val="TableContents"/>
              <w:bidi w:val="0"/>
              <w:spacing w:before="0" w:after="283"/>
              <w:jc w:val="right"/>
              <w:rPr/>
            </w:pPr>
            <w:r>
              <w:rPr/>
              <w:t>40,000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90,000</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1915" w:type="dxa"/>
        <w:jc w:val="left"/>
        <w:tblInd w:w="0" w:type="dxa"/>
        <w:tblLayout w:type="fixed"/>
        <w:tblCellMar>
          <w:top w:w="0" w:type="dxa"/>
          <w:left w:w="0" w:type="dxa"/>
          <w:bottom w:w="0" w:type="dxa"/>
          <w:right w:w="0" w:type="dxa"/>
        </w:tblCellMar>
      </w:tblPr>
      <w:tblGrid>
        <w:gridCol w:w="965"/>
        <w:gridCol w:w="950"/>
      </w:tblGrid>
      <w:tr>
        <w:trPr/>
        <w:tc>
          <w:tcPr>
            <w:tcW w:w="965" w:type="dxa"/>
            <w:tcBorders/>
            <w:vAlign w:val="center"/>
          </w:tcPr>
          <w:p>
            <w:pPr>
              <w:pStyle w:val="TableContents"/>
              <w:bidi w:val="0"/>
              <w:spacing w:before="0" w:after="0"/>
              <w:ind w:left="0" w:right="0" w:firstLine="675"/>
              <w:jc w:val="left"/>
              <w:rPr>
                <w:rFonts w:ascii="times new roman" w:hAnsi="times new roman"/>
                <w:sz w:val="20"/>
              </w:rPr>
            </w:pPr>
            <w:r>
              <w:rPr>
                <w:rFonts w:ascii="times new roman" w:hAnsi="times new roman"/>
                <w:sz w:val="20"/>
              </w:rPr>
              <w:t>(1)</w:t>
            </w:r>
          </w:p>
        </w:tc>
        <w:tc>
          <w:tcPr>
            <w:tcW w:w="9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Estimated.</w:t>
            </w:r>
          </w:p>
        </w:tc>
      </w:tr>
    </w:tbl>
    <w:p>
      <w:pPr>
        <w:pStyle w:val="TextBody"/>
        <w:bidi w:val="0"/>
        <w:spacing w:before="0" w:after="0"/>
        <w:ind w:left="0" w:right="0" w:hanging="0"/>
        <w:jc w:val="left"/>
        <w:rPr/>
      </w:pPr>
      <w:r>
        <w:rPr/>
        <w:t> </w:t>
      </w:r>
    </w:p>
    <w:p>
      <w:pPr>
        <w:pStyle w:val="TextBody"/>
        <w:bidi w:val="0"/>
        <w:spacing w:before="0" w:after="0"/>
        <w:ind w:left="0" w:right="0" w:firstLine="675"/>
        <w:jc w:val="left"/>
        <w:rPr/>
      </w:pPr>
      <w:r>
        <w:rPr>
          <w:rStyle w:val="StrongEmphasis"/>
          <w:rFonts w:ascii="times new roman" w:hAnsi="times new roman"/>
          <w:sz w:val="20"/>
        </w:rPr>
        <w:t>Item 15.</w:t>
      </w:r>
      <w:r>
        <w:rPr>
          <w:rFonts w:ascii="times new roman" w:hAnsi="times new roman"/>
          <w:sz w:val="20"/>
        </w:rPr>
        <w:t> </w:t>
      </w:r>
      <w:r>
        <w:rPr>
          <w:rStyle w:val="StrongEmphasis"/>
          <w:rFonts w:ascii="times new roman" w:hAnsi="times new roman"/>
          <w:sz w:val="20"/>
        </w:rPr>
        <w:t>Indemnification of Directors and Officers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authorized by Chapter 8 of the Texas Business Organizations Code, we may indemnify our officers and directors (and our former officers and directors) against expenses incurred by such persons in connection with any (A) threatened, pending, or completed action or other proceeding, whether civil, criminal, administrative, arbitrative, or investigative; (B) an appeal of an action or proceeding described by (A); and (C) an inquiry or investigation that could lead to an action or proceeding described by (A), involving such persons in their capacities as officers and directors, if it is determined in accordance with the Texas Business Organizations Code that: (1) the person: (A) acted in good faith; (B) reasonably believed: (i) in the case of conduct in the person’s official capacity, that the person’s conduct was in the enterprise’s best interests; and (ii) in any other case, that the person’s conduct was not opposed to the enterprise’s best interests; and (C) in the case of a criminal proceeding, did not have a reasonable cause to believe the person’s conduct was unlawful; (2) with respect to expenses, the amount of expenses other than a judgment is reasonable; and (3) indemnification should be paid.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Under Texas law, corporations may also purchase and maintain insurance or make other financial arrangements on behalf of any person who is or was a director or officer (or is serving at our request as a director or officer of another corporation) for any liability asserted against such person and any expenses incurred by him in his capacity as a director or officer.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Second Amended and Restated Certificate of Formation provides that our directors are not personally liable to our shareholders or us for monetary damages for an act or omission in their capacity as a director. A director may, however, be found liable for, and we may be prohibited from indemnifying them against:</w:t>
      </w:r>
    </w:p>
    <w:p>
      <w:pPr>
        <w:pStyle w:val="TextBody"/>
        <w:bidi w:val="0"/>
        <w:spacing w:before="0" w:after="0"/>
        <w:ind w:left="0" w:right="0" w:hanging="0"/>
        <w:jc w:val="both"/>
        <w:rPr/>
      </w:pPr>
      <w:r>
        <w:rPr/>
        <w:t> </w:t>
      </w:r>
    </w:p>
    <w:tbl>
      <w:tblPr>
        <w:tblW w:w="8215" w:type="dxa"/>
        <w:jc w:val="left"/>
        <w:tblInd w:w="0" w:type="dxa"/>
        <w:tblLayout w:type="fixed"/>
        <w:tblCellMar>
          <w:top w:w="0" w:type="dxa"/>
          <w:left w:w="0" w:type="dxa"/>
          <w:bottom w:w="0" w:type="dxa"/>
          <w:right w:w="0" w:type="dxa"/>
        </w:tblCellMar>
      </w:tblPr>
      <w:tblGrid>
        <w:gridCol w:w="105"/>
        <w:gridCol w:w="140"/>
        <w:gridCol w:w="7970"/>
      </w:tblGrid>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79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any breach of the director’s duty of loyalty to our shareholders or us;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797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79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acts or omissions not in good faith that constitute a breach of the director’s duty to the Company;</w:t>
            </w:r>
          </w:p>
        </w:tc>
      </w:tr>
    </w:tbl>
    <w:p>
      <w:pPr>
        <w:pStyle w:val="TextBody"/>
        <w:bidi w:val="0"/>
        <w:spacing w:before="0" w:after="0"/>
        <w:ind w:left="0" w:right="0" w:hanging="0"/>
        <w:jc w:val="left"/>
        <w:rPr/>
      </w:pPr>
      <w:r>
        <w:rPr/>
        <w:t xml:space="preserve">  </w:t>
      </w:r>
    </w:p>
    <w:tbl>
      <w:tblPr>
        <w:tblW w:w="7330" w:type="dxa"/>
        <w:jc w:val="left"/>
        <w:tblInd w:w="0" w:type="dxa"/>
        <w:tblLayout w:type="fixed"/>
        <w:tblCellMar>
          <w:top w:w="0" w:type="dxa"/>
          <w:left w:w="0" w:type="dxa"/>
          <w:bottom w:w="0" w:type="dxa"/>
          <w:right w:w="0" w:type="dxa"/>
        </w:tblCellMar>
      </w:tblPr>
      <w:tblGrid>
        <w:gridCol w:w="105"/>
        <w:gridCol w:w="140"/>
        <w:gridCol w:w="7085"/>
      </w:tblGrid>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708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acts or omissions that involve intentional misconduct or a knowing violation of law;</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708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708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any transaction from which the director receives an improper benefit; or</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708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708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acts or omissions for which the liability is expressly provided by an applicable statute.</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Certificate of Formation also provides that we will indemnify our directors, and may indemnify our agents, to the fullest extent permitted by applicable Texas law from any expenses, liabilities or other matters. Insofar as indemnification for liabilities arising under the Securities Act may be permitted for directors, officers and controlling persons of the Company under our Certificate of Formation, it is the position of the SEC that such indemnification is against public policy as expressed in the Securities Act and is, therefore, unenforceable.</w:t>
      </w:r>
    </w:p>
    <w:p>
      <w:pPr>
        <w:pStyle w:val="TextBody"/>
        <w:bidi w:val="0"/>
        <w:spacing w:before="0" w:after="0"/>
        <w:ind w:left="0" w:right="0" w:firstLine="675"/>
        <w:jc w:val="both"/>
        <w:rPr/>
      </w:pPr>
      <w:r>
        <w:rPr/>
        <w:t> </w:t>
      </w:r>
    </w:p>
    <w:p>
      <w:pPr>
        <w:pStyle w:val="TextBody"/>
        <w:bidi w:val="0"/>
        <w:spacing w:before="0" w:after="0"/>
        <w:ind w:left="0" w:right="0" w:hanging="0"/>
        <w:jc w:val="both"/>
        <w:rPr/>
      </w:pPr>
      <w:r>
        <w:rPr>
          <w:rStyle w:val="StrongEmphasis"/>
          <w:rFonts w:ascii="times new roman" w:hAnsi="times new roman"/>
          <w:sz w:val="20"/>
        </w:rPr>
        <w:t>Indemnification Agreements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entered into indemnification agreements with each of our officers and directors pursuant to which we have agreed, to the maximum extent permitted by applicable law and subject to the specified terms and conditions set forth in each agreement, to indemnify a director or officer who acts on our behalf and is made or threatened to be made a party to any action or proceeding against expenses, judgments, fines and amounts paid in settlement that are incurred by such officer or director in connection with the action or proceeding. The indemnification provisions apply whether the action was instituted by a third party or by us. We also maintain insurance on behalf of our officers and directors that provides coverage for expenses and liabilities incurred by them in their capacities as officers and directors.</w:t>
      </w:r>
    </w:p>
    <w:p>
      <w:pPr>
        <w:pStyle w:val="TextBody"/>
        <w:bidi w:val="0"/>
        <w:spacing w:before="0" w:after="0"/>
        <w:ind w:left="0" w:right="0" w:firstLine="675"/>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II-1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Item 16.</w:t>
      </w:r>
      <w:r>
        <w:rPr>
          <w:rFonts w:ascii="times new roman" w:hAnsi="times new roman"/>
          <w:sz w:val="20"/>
        </w:rPr>
        <w:t> </w:t>
      </w:r>
      <w:r>
        <w:rPr>
          <w:rStyle w:val="StrongEmphasis"/>
          <w:rFonts w:ascii="times new roman" w:hAnsi="times new roman"/>
          <w:sz w:val="20"/>
        </w:rPr>
        <w:t>Exhibits.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 Exhibits.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04"/>
        <w:gridCol w:w="51"/>
        <w:gridCol w:w="39"/>
        <w:gridCol w:w="63"/>
        <w:gridCol w:w="4798"/>
        <w:gridCol w:w="90"/>
        <w:gridCol w:w="1128"/>
        <w:gridCol w:w="90"/>
        <w:gridCol w:w="46"/>
        <w:gridCol w:w="436"/>
        <w:gridCol w:w="48"/>
        <w:gridCol w:w="45"/>
        <w:gridCol w:w="45"/>
        <w:gridCol w:w="680"/>
        <w:gridCol w:w="45"/>
        <w:gridCol w:w="45"/>
        <w:gridCol w:w="47"/>
        <w:gridCol w:w="827"/>
        <w:gridCol w:w="47"/>
        <w:gridCol w:w="45"/>
        <w:gridCol w:w="45"/>
        <w:gridCol w:w="841"/>
      </w:tblGrid>
      <w:tr>
        <w:trPr/>
        <w:tc>
          <w:tcPr>
            <w:tcW w:w="755" w:type="dxa"/>
            <w:gridSpan w:val="2"/>
            <w:tcBorders/>
            <w:vAlign w:val="center"/>
          </w:tcPr>
          <w:p>
            <w:pPr>
              <w:pStyle w:val="TableContents"/>
              <w:bidi w:val="0"/>
              <w:spacing w:before="0" w:after="0"/>
              <w:ind w:left="0" w:right="0" w:hanging="0"/>
              <w:jc w:val="left"/>
              <w:rPr/>
            </w:pPr>
            <w:r>
              <w:rPr/>
              <w:t> </w:t>
            </w:r>
          </w:p>
        </w:tc>
        <w:tc>
          <w:tcPr>
            <w:tcW w:w="102" w:type="dxa"/>
            <w:gridSpan w:val="2"/>
            <w:tcBorders/>
            <w:vAlign w:val="center"/>
          </w:tcPr>
          <w:p>
            <w:pPr>
              <w:pStyle w:val="TableContents"/>
              <w:bidi w:val="0"/>
              <w:spacing w:before="0" w:after="0"/>
              <w:ind w:left="0" w:right="0" w:hanging="0"/>
              <w:jc w:val="left"/>
              <w:rPr/>
            </w:pPr>
            <w:r>
              <w:rPr/>
              <w:t> </w:t>
            </w:r>
          </w:p>
        </w:tc>
        <w:tc>
          <w:tcPr>
            <w:tcW w:w="4798"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28"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242" w:type="dxa"/>
            <w:gridSpan w:val="14"/>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Incorporated By Reference</w:t>
            </w:r>
          </w:p>
        </w:tc>
      </w:tr>
      <w:tr>
        <w:trPr/>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Exhibit No.</w:t>
            </w:r>
          </w:p>
        </w:tc>
        <w:tc>
          <w:tcPr>
            <w:tcW w:w="102" w:type="dxa"/>
            <w:gridSpan w:val="2"/>
            <w:tcBorders/>
            <w:vAlign w:val="center"/>
          </w:tcPr>
          <w:p>
            <w:pPr>
              <w:pStyle w:val="TableContents"/>
              <w:bidi w:val="0"/>
              <w:spacing w:before="0" w:after="0"/>
              <w:ind w:left="0" w:right="0" w:hanging="0"/>
              <w:jc w:val="left"/>
              <w:rPr/>
            </w:pPr>
            <w:r>
              <w:rPr/>
              <w:t> </w:t>
            </w:r>
          </w:p>
        </w:tc>
        <w:tc>
          <w:tcPr>
            <w:tcW w:w="4798"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Description</w:t>
            </w:r>
          </w:p>
        </w:tc>
        <w:tc>
          <w:tcPr>
            <w:tcW w:w="90" w:type="dxa"/>
            <w:tcBorders/>
            <w:vAlign w:val="center"/>
          </w:tcPr>
          <w:p>
            <w:pPr>
              <w:pStyle w:val="TableContents"/>
              <w:bidi w:val="0"/>
              <w:spacing w:before="0" w:after="0"/>
              <w:ind w:left="0" w:right="0" w:hanging="0"/>
              <w:jc w:val="left"/>
              <w:rPr/>
            </w:pPr>
            <w:r>
              <w:rPr/>
              <w:t> </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Filed or Furnished Herewith</w:t>
            </w:r>
          </w:p>
        </w:tc>
        <w:tc>
          <w:tcPr>
            <w:tcW w:w="90" w:type="dxa"/>
            <w:tcBorders/>
            <w:vAlign w:val="center"/>
          </w:tcPr>
          <w:p>
            <w:pPr>
              <w:pStyle w:val="TableContents"/>
              <w:bidi w:val="0"/>
              <w:spacing w:before="0" w:after="0"/>
              <w:ind w:left="0" w:right="0" w:hanging="0"/>
              <w:jc w:val="center"/>
              <w:rPr/>
            </w:pPr>
            <w:r>
              <w:rPr/>
              <w:t> </w:t>
            </w:r>
          </w:p>
        </w:tc>
        <w:tc>
          <w:tcPr>
            <w:tcW w:w="530" w:type="dxa"/>
            <w:gridSpan w:val="3"/>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Form</w:t>
            </w:r>
          </w:p>
        </w:tc>
        <w:tc>
          <w:tcPr>
            <w:tcW w:w="90" w:type="dxa"/>
            <w:gridSpan w:val="2"/>
            <w:tcBorders/>
            <w:vAlign w:val="center"/>
          </w:tcPr>
          <w:p>
            <w:pPr>
              <w:pStyle w:val="TableContents"/>
              <w:bidi w:val="0"/>
              <w:spacing w:before="0" w:after="0"/>
              <w:ind w:left="0" w:right="0" w:hanging="0"/>
              <w:jc w:val="center"/>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Exhibit</w:t>
            </w:r>
          </w:p>
        </w:tc>
        <w:tc>
          <w:tcPr>
            <w:tcW w:w="90" w:type="dxa"/>
            <w:gridSpan w:val="2"/>
            <w:tcBorders/>
            <w:vAlign w:val="center"/>
          </w:tcPr>
          <w:p>
            <w:pPr>
              <w:pStyle w:val="TableContents"/>
              <w:bidi w:val="0"/>
              <w:spacing w:before="0" w:after="0"/>
              <w:ind w:left="0" w:right="0" w:hanging="0"/>
              <w:jc w:val="center"/>
              <w:rPr/>
            </w:pPr>
            <w:r>
              <w:rPr/>
              <w:t> </w:t>
            </w:r>
          </w:p>
        </w:tc>
        <w:tc>
          <w:tcPr>
            <w:tcW w:w="921" w:type="dxa"/>
            <w:gridSpan w:val="3"/>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Filing Date/Period End Date</w:t>
            </w:r>
          </w:p>
        </w:tc>
        <w:tc>
          <w:tcPr>
            <w:tcW w:w="90" w:type="dxa"/>
            <w:gridSpan w:val="2"/>
            <w:tcBorders/>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File Number</w:t>
            </w:r>
          </w:p>
        </w:tc>
      </w:tr>
      <w:tr>
        <w:trPr/>
        <w:tc>
          <w:tcPr>
            <w:tcW w:w="755" w:type="dxa"/>
            <w:gridSpan w:val="2"/>
            <w:tcBorders/>
            <w:shd w:fill="CCEEFF" w:val="clear"/>
            <w:vAlign w:val="center"/>
          </w:tcPr>
          <w:p>
            <w:pPr>
              <w:pStyle w:val="TableContents"/>
              <w:bidi w:val="0"/>
              <w:spacing w:before="0" w:after="0"/>
              <w:ind w:left="0" w:right="0" w:hanging="0"/>
              <w:jc w:val="left"/>
              <w:rPr/>
            </w:pPr>
            <w:hyperlink r:id="rId27">
              <w:r>
                <w:rPr>
                  <w:rStyle w:val="InternetLink"/>
                  <w:rFonts w:ascii="times new roman" w:hAnsi="times new roman"/>
                  <w:sz w:val="20"/>
                </w:rPr>
                <w:t>2.1#</w:t>
              </w:r>
            </w:hyperlink>
          </w:p>
        </w:tc>
        <w:tc>
          <w:tcPr>
            <w:tcW w:w="102" w:type="dxa"/>
            <w:gridSpan w:val="2"/>
            <w:tcBorders/>
            <w:shd w:fill="CCEEFF" w:val="clear"/>
            <w:vAlign w:val="center"/>
          </w:tcPr>
          <w:p>
            <w:pPr>
              <w:pStyle w:val="TableContents"/>
              <w:bidi w:val="0"/>
              <w:spacing w:before="0" w:after="0"/>
              <w:ind w:left="0" w:right="0" w:hanging="0"/>
              <w:jc w:val="left"/>
              <w:rPr/>
            </w:pPr>
            <w:r>
              <w:rPr/>
              <w:t> </w:t>
            </w:r>
          </w:p>
        </w:tc>
        <w:tc>
          <w:tcPr>
            <w:tcW w:w="4798" w:type="dxa"/>
            <w:tcBorders/>
            <w:shd w:fill="CCEEFF" w:val="clear"/>
            <w:vAlign w:val="center"/>
          </w:tcPr>
          <w:p>
            <w:pPr>
              <w:pStyle w:val="TableContents"/>
              <w:bidi w:val="0"/>
              <w:spacing w:before="0" w:after="0"/>
              <w:ind w:left="0" w:right="0" w:hanging="0"/>
              <w:jc w:val="left"/>
              <w:rPr/>
            </w:pPr>
            <w:hyperlink r:id="rId28">
              <w:r>
                <w:rPr>
                  <w:rStyle w:val="InternetLink"/>
                  <w:rFonts w:ascii="times new roman" w:hAnsi="times new roman"/>
                  <w:sz w:val="20"/>
                </w:rPr>
                <w:t>Agreement and Plan of Merger, by and among PEDEVCO Corp., NP Merger Sub, LLC, COG Merger Sub, LLC, North Peak Oil &amp; Gas, LLC, Century Oil and Gas Sub-Holdings, LLC, and, solely for the limited purposes set forth therein, North Peak Oil &amp; Gas Holdings, LLC, dated as of October 31, 2025</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center"/>
              <w:rPr/>
            </w:pPr>
            <w:r>
              <w:rPr/>
              <w:t> </w:t>
            </w:r>
          </w:p>
        </w:tc>
        <w:tc>
          <w:tcPr>
            <w:tcW w:w="90" w:type="dxa"/>
            <w:tcBorders/>
            <w:shd w:fill="CCEEFF" w:val="clear"/>
            <w:vAlign w:val="center"/>
          </w:tcPr>
          <w:p>
            <w:pPr>
              <w:pStyle w:val="TableContents"/>
              <w:bidi w:val="0"/>
              <w:spacing w:before="0" w:after="0"/>
              <w:ind w:left="0" w:right="0" w:hanging="0"/>
              <w:jc w:val="center"/>
              <w:rPr/>
            </w:pPr>
            <w:r>
              <w:rPr/>
              <w:t> </w:t>
            </w:r>
          </w:p>
        </w:tc>
        <w:tc>
          <w:tcPr>
            <w:tcW w:w="530"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6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921"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11/3/2025</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55" w:type="dxa"/>
            <w:gridSpan w:val="2"/>
            <w:tcBorders/>
            <w:shd w:fill="FFFFFF" w:val="clear"/>
            <w:vAlign w:val="center"/>
          </w:tcPr>
          <w:p>
            <w:pPr>
              <w:pStyle w:val="TableContents"/>
              <w:bidi w:val="0"/>
              <w:spacing w:before="0" w:after="0"/>
              <w:ind w:left="0" w:right="0" w:hanging="0"/>
              <w:jc w:val="left"/>
              <w:rPr/>
            </w:pPr>
            <w:hyperlink r:id="rId29">
              <w:r>
                <w:rPr>
                  <w:rStyle w:val="InternetLink"/>
                  <w:rFonts w:ascii="times new roman" w:hAnsi="times new roman"/>
                  <w:sz w:val="20"/>
                </w:rPr>
                <w:t>2.2</w:t>
              </w:r>
            </w:hyperlink>
          </w:p>
        </w:tc>
        <w:tc>
          <w:tcPr>
            <w:tcW w:w="102" w:type="dxa"/>
            <w:gridSpan w:val="2"/>
            <w:tcBorders/>
            <w:shd w:fill="FFFFFF" w:val="clear"/>
            <w:vAlign w:val="center"/>
          </w:tcPr>
          <w:p>
            <w:pPr>
              <w:pStyle w:val="TableContents"/>
              <w:bidi w:val="0"/>
              <w:spacing w:before="0" w:after="0"/>
              <w:ind w:left="0" w:right="0" w:hanging="0"/>
              <w:jc w:val="left"/>
              <w:rPr/>
            </w:pPr>
            <w:r>
              <w:rPr/>
              <w:t> </w:t>
            </w:r>
          </w:p>
        </w:tc>
        <w:tc>
          <w:tcPr>
            <w:tcW w:w="4798" w:type="dxa"/>
            <w:tcBorders/>
            <w:shd w:fill="FFFFFF" w:val="clear"/>
            <w:vAlign w:val="center"/>
          </w:tcPr>
          <w:p>
            <w:pPr>
              <w:pStyle w:val="TableContents"/>
              <w:bidi w:val="0"/>
              <w:spacing w:before="0" w:after="0"/>
              <w:ind w:left="0" w:right="0" w:hanging="0"/>
              <w:jc w:val="left"/>
              <w:rPr/>
            </w:pPr>
            <w:hyperlink r:id="rId30">
              <w:r>
                <w:rPr>
                  <w:rStyle w:val="InternetLink"/>
                  <w:rFonts w:ascii="times new roman" w:hAnsi="times new roman"/>
                  <w:sz w:val="20"/>
                </w:rPr>
                <w:t>First Amendment to Agreement and Plan of Merger, by and among PEDEVCO Corp., NP Merger Sub, LLC, COG Merger Sub, LLC, North Peak Oil &amp; Gas, LLC, Century Oil and Gas Sub-Holdings, LLC, and, solely for the limited purposes set forth therein, North Peak Oil &amp; Gas Holdings, LLC, dated as of October 31, 2025</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128" w:type="dxa"/>
            <w:tcBorders/>
            <w:shd w:fill="FFFFFF" w:val="clear"/>
            <w:vAlign w:val="center"/>
          </w:tcPr>
          <w:p>
            <w:pPr>
              <w:pStyle w:val="TableContents"/>
              <w:bidi w:val="0"/>
              <w:spacing w:before="0" w:after="0"/>
              <w:ind w:left="0" w:right="0" w:hanging="0"/>
              <w:jc w:val="center"/>
              <w:rPr/>
            </w:pPr>
            <w:r>
              <w:rPr/>
              <w:t> </w:t>
            </w:r>
          </w:p>
        </w:tc>
        <w:tc>
          <w:tcPr>
            <w:tcW w:w="90" w:type="dxa"/>
            <w:tcBorders/>
            <w:shd w:fill="FFFFFF" w:val="clear"/>
            <w:vAlign w:val="center"/>
          </w:tcPr>
          <w:p>
            <w:pPr>
              <w:pStyle w:val="TableContents"/>
              <w:bidi w:val="0"/>
              <w:spacing w:before="0" w:after="0"/>
              <w:ind w:left="0" w:right="0" w:hanging="0"/>
              <w:jc w:val="center"/>
              <w:rPr/>
            </w:pPr>
            <w:r>
              <w:rPr/>
              <w:t> </w:t>
            </w:r>
          </w:p>
        </w:tc>
        <w:tc>
          <w:tcPr>
            <w:tcW w:w="530" w:type="dxa"/>
            <w:gridSpan w:val="3"/>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10-Q</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6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2.2</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921" w:type="dxa"/>
            <w:gridSpan w:val="3"/>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11/3/2025</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841"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55" w:type="dxa"/>
            <w:gridSpan w:val="2"/>
            <w:tcBorders/>
            <w:shd w:fill="CCEEFF" w:val="clear"/>
            <w:vAlign w:val="center"/>
          </w:tcPr>
          <w:p>
            <w:pPr>
              <w:pStyle w:val="TableContents"/>
              <w:bidi w:val="0"/>
              <w:spacing w:before="0" w:after="0"/>
              <w:ind w:left="0" w:right="0" w:hanging="0"/>
              <w:jc w:val="left"/>
              <w:rPr/>
            </w:pPr>
            <w:hyperlink r:id="rId31">
              <w:r>
                <w:rPr>
                  <w:rStyle w:val="InternetLink"/>
                  <w:rFonts w:ascii="times new roman" w:hAnsi="times new roman"/>
                  <w:sz w:val="20"/>
                </w:rPr>
                <w:t>3.1</w:t>
              </w:r>
            </w:hyperlink>
          </w:p>
        </w:tc>
        <w:tc>
          <w:tcPr>
            <w:tcW w:w="102" w:type="dxa"/>
            <w:gridSpan w:val="2"/>
            <w:tcBorders/>
            <w:shd w:fill="CCEEFF" w:val="clear"/>
            <w:vAlign w:val="center"/>
          </w:tcPr>
          <w:p>
            <w:pPr>
              <w:pStyle w:val="TableContents"/>
              <w:bidi w:val="0"/>
              <w:spacing w:before="0" w:after="0"/>
              <w:ind w:left="0" w:right="0" w:hanging="0"/>
              <w:jc w:val="left"/>
              <w:rPr/>
            </w:pPr>
            <w:r>
              <w:rPr/>
              <w:t> </w:t>
            </w:r>
          </w:p>
        </w:tc>
        <w:tc>
          <w:tcPr>
            <w:tcW w:w="4798" w:type="dxa"/>
            <w:tcBorders/>
            <w:shd w:fill="CCEEFF" w:val="clear"/>
            <w:vAlign w:val="center"/>
          </w:tcPr>
          <w:p>
            <w:pPr>
              <w:pStyle w:val="TableContents"/>
              <w:bidi w:val="0"/>
              <w:spacing w:before="0" w:after="0"/>
              <w:ind w:left="0" w:right="0" w:hanging="0"/>
              <w:jc w:val="left"/>
              <w:rPr/>
            </w:pPr>
            <w:hyperlink r:id="rId32">
              <w:r>
                <w:rPr>
                  <w:rStyle w:val="InternetLink"/>
                  <w:rFonts w:ascii="times new roman" w:hAnsi="times new roman"/>
                  <w:sz w:val="20"/>
                </w:rPr>
                <w:t>Amended and Restated Certificate of Formation and Designation by Blast Acquisition Corp. and Pacific Energy Development Corp.</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center"/>
              <w:rPr/>
            </w:pPr>
            <w:r>
              <w:rPr/>
              <w:t> </w:t>
            </w:r>
          </w:p>
        </w:tc>
        <w:tc>
          <w:tcPr>
            <w:tcW w:w="90" w:type="dxa"/>
            <w:tcBorders/>
            <w:shd w:fill="CCEEFF" w:val="clear"/>
            <w:vAlign w:val="center"/>
          </w:tcPr>
          <w:p>
            <w:pPr>
              <w:pStyle w:val="TableContents"/>
              <w:bidi w:val="0"/>
              <w:spacing w:before="0" w:after="0"/>
              <w:ind w:left="0" w:right="0" w:hanging="0"/>
              <w:jc w:val="center"/>
              <w:rPr/>
            </w:pPr>
            <w:r>
              <w:rPr/>
              <w:t> </w:t>
            </w:r>
          </w:p>
        </w:tc>
        <w:tc>
          <w:tcPr>
            <w:tcW w:w="530"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6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921"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8/2/2012</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000-53725</w:t>
            </w:r>
          </w:p>
        </w:tc>
      </w:tr>
      <w:tr>
        <w:trPr/>
        <w:tc>
          <w:tcPr>
            <w:tcW w:w="755" w:type="dxa"/>
            <w:gridSpan w:val="2"/>
            <w:tcBorders/>
            <w:shd w:fill="FFFFFF" w:val="clear"/>
            <w:vAlign w:val="center"/>
          </w:tcPr>
          <w:p>
            <w:pPr>
              <w:pStyle w:val="TableContents"/>
              <w:bidi w:val="0"/>
              <w:spacing w:before="0" w:after="0"/>
              <w:ind w:left="0" w:right="0" w:hanging="0"/>
              <w:jc w:val="left"/>
              <w:rPr/>
            </w:pPr>
            <w:hyperlink r:id="rId33">
              <w:r>
                <w:rPr>
                  <w:rStyle w:val="InternetLink"/>
                  <w:rFonts w:ascii="times new roman" w:hAnsi="times new roman"/>
                  <w:sz w:val="20"/>
                </w:rPr>
                <w:t>3.2</w:t>
              </w:r>
            </w:hyperlink>
          </w:p>
        </w:tc>
        <w:tc>
          <w:tcPr>
            <w:tcW w:w="102" w:type="dxa"/>
            <w:gridSpan w:val="2"/>
            <w:tcBorders/>
            <w:shd w:fill="FFFFFF" w:val="clear"/>
            <w:vAlign w:val="center"/>
          </w:tcPr>
          <w:p>
            <w:pPr>
              <w:pStyle w:val="TableContents"/>
              <w:bidi w:val="0"/>
              <w:spacing w:before="0" w:after="0"/>
              <w:ind w:left="0" w:right="0" w:hanging="0"/>
              <w:jc w:val="left"/>
              <w:rPr/>
            </w:pPr>
            <w:r>
              <w:rPr/>
              <w:t> </w:t>
            </w:r>
          </w:p>
        </w:tc>
        <w:tc>
          <w:tcPr>
            <w:tcW w:w="4798" w:type="dxa"/>
            <w:tcBorders/>
            <w:shd w:fill="FFFFFF" w:val="clear"/>
            <w:vAlign w:val="center"/>
          </w:tcPr>
          <w:p>
            <w:pPr>
              <w:pStyle w:val="TableContents"/>
              <w:bidi w:val="0"/>
              <w:spacing w:before="0" w:after="0"/>
              <w:ind w:left="0" w:right="0" w:hanging="0"/>
              <w:jc w:val="left"/>
              <w:rPr/>
            </w:pPr>
            <w:hyperlink r:id="rId34">
              <w:r>
                <w:rPr>
                  <w:rStyle w:val="InternetLink"/>
                  <w:rFonts w:ascii="times new roman" w:hAnsi="times new roman"/>
                  <w:sz w:val="20"/>
                </w:rPr>
                <w:t>Certificate of Amendment of Amended and Restated Certificate of Formation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128" w:type="dxa"/>
            <w:tcBorders/>
            <w:shd w:fill="FFFFFF" w:val="clear"/>
            <w:vAlign w:val="center"/>
          </w:tcPr>
          <w:p>
            <w:pPr>
              <w:pStyle w:val="TableContents"/>
              <w:bidi w:val="0"/>
              <w:spacing w:before="0" w:after="0"/>
              <w:ind w:left="0" w:right="0" w:hanging="0"/>
              <w:jc w:val="center"/>
              <w:rPr/>
            </w:pPr>
            <w:r>
              <w:rPr/>
              <w:t> </w:t>
            </w:r>
          </w:p>
        </w:tc>
        <w:tc>
          <w:tcPr>
            <w:tcW w:w="90" w:type="dxa"/>
            <w:tcBorders/>
            <w:shd w:fill="FFFFFF" w:val="clear"/>
            <w:vAlign w:val="center"/>
          </w:tcPr>
          <w:p>
            <w:pPr>
              <w:pStyle w:val="TableContents"/>
              <w:bidi w:val="0"/>
              <w:spacing w:before="0" w:after="0"/>
              <w:ind w:left="0" w:right="0" w:hanging="0"/>
              <w:jc w:val="center"/>
              <w:rPr/>
            </w:pPr>
            <w:r>
              <w:rPr/>
              <w:t> </w:t>
            </w:r>
          </w:p>
        </w:tc>
        <w:tc>
          <w:tcPr>
            <w:tcW w:w="530" w:type="dxa"/>
            <w:gridSpan w:val="3"/>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6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921" w:type="dxa"/>
            <w:gridSpan w:val="3"/>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4/23/2013</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841"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000-53725</w:t>
            </w:r>
          </w:p>
        </w:tc>
      </w:tr>
      <w:tr>
        <w:trPr/>
        <w:tc>
          <w:tcPr>
            <w:tcW w:w="755" w:type="dxa"/>
            <w:gridSpan w:val="2"/>
            <w:tcBorders/>
            <w:shd w:fill="CCEEFF" w:val="clear"/>
            <w:vAlign w:val="center"/>
          </w:tcPr>
          <w:p>
            <w:pPr>
              <w:pStyle w:val="TableContents"/>
              <w:bidi w:val="0"/>
              <w:spacing w:before="0" w:after="0"/>
              <w:ind w:left="0" w:right="0" w:hanging="0"/>
              <w:jc w:val="left"/>
              <w:rPr/>
            </w:pPr>
            <w:hyperlink r:id="rId35">
              <w:r>
                <w:rPr>
                  <w:rStyle w:val="InternetLink"/>
                  <w:rFonts w:ascii="times new roman" w:hAnsi="times new roman"/>
                  <w:sz w:val="20"/>
                </w:rPr>
                <w:t>3.3</w:t>
              </w:r>
            </w:hyperlink>
          </w:p>
        </w:tc>
        <w:tc>
          <w:tcPr>
            <w:tcW w:w="102" w:type="dxa"/>
            <w:gridSpan w:val="2"/>
            <w:tcBorders/>
            <w:shd w:fill="CCEEFF" w:val="clear"/>
            <w:vAlign w:val="center"/>
          </w:tcPr>
          <w:p>
            <w:pPr>
              <w:pStyle w:val="TableContents"/>
              <w:bidi w:val="0"/>
              <w:spacing w:before="0" w:after="0"/>
              <w:ind w:left="0" w:right="0" w:hanging="0"/>
              <w:jc w:val="left"/>
              <w:rPr/>
            </w:pPr>
            <w:r>
              <w:rPr/>
              <w:t> </w:t>
            </w:r>
          </w:p>
        </w:tc>
        <w:tc>
          <w:tcPr>
            <w:tcW w:w="4798" w:type="dxa"/>
            <w:tcBorders/>
            <w:shd w:fill="CCEEFF" w:val="clear"/>
            <w:vAlign w:val="center"/>
          </w:tcPr>
          <w:p>
            <w:pPr>
              <w:pStyle w:val="TableContents"/>
              <w:bidi w:val="0"/>
              <w:spacing w:before="0" w:after="0"/>
              <w:ind w:left="0" w:right="0" w:hanging="0"/>
              <w:jc w:val="left"/>
              <w:rPr/>
            </w:pPr>
            <w:hyperlink r:id="rId36">
              <w:r>
                <w:rPr>
                  <w:rStyle w:val="InternetLink"/>
                  <w:rFonts w:ascii="times new roman" w:hAnsi="times new roman"/>
                  <w:sz w:val="20"/>
                </w:rPr>
                <w:t>Amended and Restated Certificate of Designations of PEDEVCO Corp. Establishing the Designations, Preferences, Limitations and Relative Rights of its Series A Convertible Preferred Stock</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center"/>
              <w:rPr/>
            </w:pPr>
            <w:r>
              <w:rPr/>
              <w:t> </w:t>
            </w:r>
          </w:p>
        </w:tc>
        <w:tc>
          <w:tcPr>
            <w:tcW w:w="90" w:type="dxa"/>
            <w:tcBorders/>
            <w:shd w:fill="CCEEFF" w:val="clear"/>
            <w:vAlign w:val="center"/>
          </w:tcPr>
          <w:p>
            <w:pPr>
              <w:pStyle w:val="TableContents"/>
              <w:bidi w:val="0"/>
              <w:spacing w:before="0" w:after="0"/>
              <w:ind w:left="0" w:right="0" w:hanging="0"/>
              <w:jc w:val="center"/>
              <w:rPr/>
            </w:pPr>
            <w:r>
              <w:rPr/>
              <w:t> </w:t>
            </w:r>
          </w:p>
        </w:tc>
        <w:tc>
          <w:tcPr>
            <w:tcW w:w="530"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6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921"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2/24/2015</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55" w:type="dxa"/>
            <w:gridSpan w:val="2"/>
            <w:tcBorders/>
            <w:shd w:fill="FFFFFF" w:val="clear"/>
            <w:vAlign w:val="center"/>
          </w:tcPr>
          <w:p>
            <w:pPr>
              <w:pStyle w:val="TableContents"/>
              <w:bidi w:val="0"/>
              <w:spacing w:before="0" w:after="0"/>
              <w:ind w:left="0" w:right="0" w:hanging="0"/>
              <w:jc w:val="left"/>
              <w:rPr/>
            </w:pPr>
            <w:hyperlink r:id="rId37">
              <w:r>
                <w:rPr>
                  <w:rStyle w:val="InternetLink"/>
                  <w:rFonts w:ascii="times new roman" w:hAnsi="times new roman"/>
                  <w:sz w:val="20"/>
                </w:rPr>
                <w:t>3.4</w:t>
              </w:r>
            </w:hyperlink>
          </w:p>
        </w:tc>
        <w:tc>
          <w:tcPr>
            <w:tcW w:w="102" w:type="dxa"/>
            <w:gridSpan w:val="2"/>
            <w:tcBorders/>
            <w:shd w:fill="FFFFFF" w:val="clear"/>
            <w:vAlign w:val="center"/>
          </w:tcPr>
          <w:p>
            <w:pPr>
              <w:pStyle w:val="TableContents"/>
              <w:bidi w:val="0"/>
              <w:spacing w:before="0" w:after="0"/>
              <w:ind w:left="0" w:right="0" w:hanging="0"/>
              <w:jc w:val="left"/>
              <w:rPr/>
            </w:pPr>
            <w:r>
              <w:rPr/>
              <w:t> </w:t>
            </w:r>
          </w:p>
        </w:tc>
        <w:tc>
          <w:tcPr>
            <w:tcW w:w="4798" w:type="dxa"/>
            <w:tcBorders/>
            <w:shd w:fill="FFFFFF" w:val="clear"/>
            <w:vAlign w:val="center"/>
          </w:tcPr>
          <w:p>
            <w:pPr>
              <w:pStyle w:val="TableContents"/>
              <w:bidi w:val="0"/>
              <w:spacing w:before="0" w:after="0"/>
              <w:ind w:left="0" w:right="0" w:hanging="0"/>
              <w:jc w:val="left"/>
              <w:rPr/>
            </w:pPr>
            <w:hyperlink r:id="rId38">
              <w:r>
                <w:rPr>
                  <w:rStyle w:val="InternetLink"/>
                  <w:rFonts w:ascii="times new roman" w:hAnsi="times new roman"/>
                  <w:sz w:val="20"/>
                </w:rPr>
                <w:t>Certificate of Amendment to Certificate of Formation (1-for-10 Reverse Stock Split of Common Stock)</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128" w:type="dxa"/>
            <w:tcBorders/>
            <w:shd w:fill="FFFFFF" w:val="clear"/>
            <w:vAlign w:val="center"/>
          </w:tcPr>
          <w:p>
            <w:pPr>
              <w:pStyle w:val="TableContents"/>
              <w:bidi w:val="0"/>
              <w:spacing w:before="0" w:after="0"/>
              <w:ind w:left="0" w:right="0" w:hanging="0"/>
              <w:jc w:val="center"/>
              <w:rPr/>
            </w:pPr>
            <w:r>
              <w:rPr/>
              <w:t> </w:t>
            </w:r>
          </w:p>
        </w:tc>
        <w:tc>
          <w:tcPr>
            <w:tcW w:w="90" w:type="dxa"/>
            <w:tcBorders/>
            <w:shd w:fill="FFFFFF" w:val="clear"/>
            <w:vAlign w:val="center"/>
          </w:tcPr>
          <w:p>
            <w:pPr>
              <w:pStyle w:val="TableContents"/>
              <w:bidi w:val="0"/>
              <w:spacing w:before="0" w:after="0"/>
              <w:ind w:left="0" w:right="0" w:hanging="0"/>
              <w:jc w:val="center"/>
              <w:rPr/>
            </w:pPr>
            <w:r>
              <w:rPr/>
              <w:t> </w:t>
            </w:r>
          </w:p>
        </w:tc>
        <w:tc>
          <w:tcPr>
            <w:tcW w:w="530" w:type="dxa"/>
            <w:gridSpan w:val="3"/>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6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921" w:type="dxa"/>
            <w:gridSpan w:val="3"/>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3/27/2017</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841"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333-64122</w:t>
            </w:r>
          </w:p>
        </w:tc>
      </w:tr>
      <w:tr>
        <w:trPr/>
        <w:tc>
          <w:tcPr>
            <w:tcW w:w="755" w:type="dxa"/>
            <w:gridSpan w:val="2"/>
            <w:tcBorders/>
            <w:shd w:fill="CCEEFF" w:val="clear"/>
            <w:vAlign w:val="center"/>
          </w:tcPr>
          <w:p>
            <w:pPr>
              <w:pStyle w:val="TableContents"/>
              <w:bidi w:val="0"/>
              <w:spacing w:before="0" w:after="0"/>
              <w:ind w:left="0" w:right="0" w:hanging="0"/>
              <w:jc w:val="left"/>
              <w:rPr/>
            </w:pPr>
            <w:hyperlink r:id="rId39">
              <w:r>
                <w:rPr>
                  <w:rStyle w:val="InternetLink"/>
                  <w:rFonts w:ascii="times new roman" w:hAnsi="times new roman"/>
                  <w:sz w:val="20"/>
                </w:rPr>
                <w:t>3.5</w:t>
              </w:r>
            </w:hyperlink>
          </w:p>
        </w:tc>
        <w:tc>
          <w:tcPr>
            <w:tcW w:w="102" w:type="dxa"/>
            <w:gridSpan w:val="2"/>
            <w:tcBorders/>
            <w:shd w:fill="CCEEFF" w:val="clear"/>
            <w:vAlign w:val="center"/>
          </w:tcPr>
          <w:p>
            <w:pPr>
              <w:pStyle w:val="TableContents"/>
              <w:bidi w:val="0"/>
              <w:spacing w:before="0" w:after="0"/>
              <w:ind w:left="0" w:right="0" w:hanging="0"/>
              <w:jc w:val="left"/>
              <w:rPr/>
            </w:pPr>
            <w:r>
              <w:rPr/>
              <w:t> </w:t>
            </w:r>
          </w:p>
        </w:tc>
        <w:tc>
          <w:tcPr>
            <w:tcW w:w="4798" w:type="dxa"/>
            <w:tcBorders/>
            <w:shd w:fill="CCEEFF" w:val="clear"/>
            <w:vAlign w:val="center"/>
          </w:tcPr>
          <w:p>
            <w:pPr>
              <w:pStyle w:val="TableContents"/>
              <w:bidi w:val="0"/>
              <w:spacing w:before="0" w:after="0"/>
              <w:ind w:left="0" w:right="0" w:hanging="0"/>
              <w:jc w:val="left"/>
              <w:rPr/>
            </w:pPr>
            <w:hyperlink r:id="rId40">
              <w:r>
                <w:rPr>
                  <w:rStyle w:val="InternetLink"/>
                  <w:rFonts w:ascii="times new roman" w:hAnsi="times new roman"/>
                  <w:sz w:val="20"/>
                </w:rPr>
                <w:t>Amendment to Amended and Restated Certificate of Designations of PEDEVCO Corp. Establishing the Designations, Preferences, Limitations and Relative Rights of Its Series A Convertible Preferred Stock filed with the Secretary of State of Texas on June 26, 2018</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center"/>
              <w:rPr/>
            </w:pPr>
            <w:r>
              <w:rPr/>
              <w:t> </w:t>
            </w:r>
          </w:p>
        </w:tc>
        <w:tc>
          <w:tcPr>
            <w:tcW w:w="90" w:type="dxa"/>
            <w:tcBorders/>
            <w:shd w:fill="CCEEFF" w:val="clear"/>
            <w:vAlign w:val="center"/>
          </w:tcPr>
          <w:p>
            <w:pPr>
              <w:pStyle w:val="TableContents"/>
              <w:bidi w:val="0"/>
              <w:spacing w:before="0" w:after="0"/>
              <w:ind w:left="0" w:right="0" w:hanging="0"/>
              <w:jc w:val="center"/>
              <w:rPr/>
            </w:pPr>
            <w:r>
              <w:rPr/>
              <w:t> </w:t>
            </w:r>
          </w:p>
        </w:tc>
        <w:tc>
          <w:tcPr>
            <w:tcW w:w="530"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6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921"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6/26/2018</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55" w:type="dxa"/>
            <w:gridSpan w:val="2"/>
            <w:tcBorders/>
            <w:shd w:fill="FFFFFF" w:val="clear"/>
            <w:vAlign w:val="center"/>
          </w:tcPr>
          <w:p>
            <w:pPr>
              <w:pStyle w:val="TableContents"/>
              <w:bidi w:val="0"/>
              <w:spacing w:before="0" w:after="0"/>
              <w:ind w:left="0" w:right="0" w:hanging="0"/>
              <w:jc w:val="left"/>
              <w:rPr/>
            </w:pPr>
            <w:hyperlink r:id="rId41">
              <w:r>
                <w:rPr>
                  <w:rStyle w:val="InternetLink"/>
                  <w:rFonts w:ascii="times new roman" w:hAnsi="times new roman"/>
                  <w:sz w:val="20"/>
                </w:rPr>
                <w:t>3.6</w:t>
              </w:r>
            </w:hyperlink>
          </w:p>
        </w:tc>
        <w:tc>
          <w:tcPr>
            <w:tcW w:w="102" w:type="dxa"/>
            <w:gridSpan w:val="2"/>
            <w:tcBorders/>
            <w:shd w:fill="FFFFFF" w:val="clear"/>
            <w:vAlign w:val="center"/>
          </w:tcPr>
          <w:p>
            <w:pPr>
              <w:pStyle w:val="TableContents"/>
              <w:bidi w:val="0"/>
              <w:spacing w:before="0" w:after="0"/>
              <w:ind w:left="0" w:right="0" w:hanging="0"/>
              <w:jc w:val="left"/>
              <w:rPr/>
            </w:pPr>
            <w:r>
              <w:rPr/>
              <w:t> </w:t>
            </w:r>
          </w:p>
        </w:tc>
        <w:tc>
          <w:tcPr>
            <w:tcW w:w="4798" w:type="dxa"/>
            <w:tcBorders/>
            <w:shd w:fill="FFFFFF" w:val="clear"/>
            <w:vAlign w:val="center"/>
          </w:tcPr>
          <w:p>
            <w:pPr>
              <w:pStyle w:val="TableContents"/>
              <w:bidi w:val="0"/>
              <w:spacing w:before="0" w:after="0"/>
              <w:ind w:left="0" w:right="0" w:hanging="0"/>
              <w:jc w:val="left"/>
              <w:rPr/>
            </w:pPr>
            <w:hyperlink r:id="rId42">
              <w:r>
                <w:rPr>
                  <w:rStyle w:val="InternetLink"/>
                  <w:rFonts w:ascii="times new roman" w:hAnsi="times new roman"/>
                  <w:sz w:val="20"/>
                </w:rPr>
                <w:t>Second Amended and Restated Certificate of Designations of PEDEVCO Corp. Establishing the Designations, Preferences, Limitations and Relative Rights of Its Series A Convertible Preferred Stock filed with the Secretary of State of Texas on October 31, 2025</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128" w:type="dxa"/>
            <w:tcBorders/>
            <w:shd w:fill="FFFFFF" w:val="clear"/>
            <w:vAlign w:val="center"/>
          </w:tcPr>
          <w:p>
            <w:pPr>
              <w:pStyle w:val="TableContents"/>
              <w:bidi w:val="0"/>
              <w:spacing w:before="0" w:after="0"/>
              <w:ind w:left="0" w:right="0" w:hanging="0"/>
              <w:jc w:val="center"/>
              <w:rPr/>
            </w:pPr>
            <w:r>
              <w:rPr/>
              <w:t> </w:t>
            </w:r>
          </w:p>
        </w:tc>
        <w:tc>
          <w:tcPr>
            <w:tcW w:w="90" w:type="dxa"/>
            <w:tcBorders/>
            <w:shd w:fill="FFFFFF" w:val="clear"/>
            <w:vAlign w:val="center"/>
          </w:tcPr>
          <w:p>
            <w:pPr>
              <w:pStyle w:val="TableContents"/>
              <w:bidi w:val="0"/>
              <w:spacing w:before="0" w:after="0"/>
              <w:ind w:left="0" w:right="0" w:hanging="0"/>
              <w:jc w:val="center"/>
              <w:rPr/>
            </w:pPr>
            <w:r>
              <w:rPr/>
              <w:t> </w:t>
            </w:r>
          </w:p>
        </w:tc>
        <w:tc>
          <w:tcPr>
            <w:tcW w:w="530" w:type="dxa"/>
            <w:gridSpan w:val="3"/>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6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921" w:type="dxa"/>
            <w:gridSpan w:val="3"/>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11/3/2025</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841"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55" w:type="dxa"/>
            <w:gridSpan w:val="2"/>
            <w:tcBorders/>
            <w:shd w:fill="CCEEFF" w:val="clear"/>
            <w:vAlign w:val="center"/>
          </w:tcPr>
          <w:p>
            <w:pPr>
              <w:pStyle w:val="TableContents"/>
              <w:bidi w:val="0"/>
              <w:spacing w:before="0" w:after="0"/>
              <w:ind w:left="0" w:right="0" w:hanging="0"/>
              <w:jc w:val="left"/>
              <w:rPr/>
            </w:pPr>
            <w:hyperlink r:id="rId43">
              <w:r>
                <w:rPr>
                  <w:rStyle w:val="InternetLink"/>
                  <w:rFonts w:ascii="times new roman" w:hAnsi="times new roman"/>
                  <w:sz w:val="20"/>
                </w:rPr>
                <w:t>3.7</w:t>
              </w:r>
            </w:hyperlink>
          </w:p>
        </w:tc>
        <w:tc>
          <w:tcPr>
            <w:tcW w:w="102" w:type="dxa"/>
            <w:gridSpan w:val="2"/>
            <w:tcBorders/>
            <w:shd w:fill="CCEEFF" w:val="clear"/>
            <w:vAlign w:val="center"/>
          </w:tcPr>
          <w:p>
            <w:pPr>
              <w:pStyle w:val="TableContents"/>
              <w:bidi w:val="0"/>
              <w:spacing w:before="0" w:after="0"/>
              <w:ind w:left="0" w:right="0" w:hanging="0"/>
              <w:jc w:val="left"/>
              <w:rPr/>
            </w:pPr>
            <w:r>
              <w:rPr/>
              <w:t> </w:t>
            </w:r>
          </w:p>
        </w:tc>
        <w:tc>
          <w:tcPr>
            <w:tcW w:w="4798" w:type="dxa"/>
            <w:tcBorders/>
            <w:shd w:fill="CCEEFF" w:val="clear"/>
            <w:vAlign w:val="center"/>
          </w:tcPr>
          <w:p>
            <w:pPr>
              <w:pStyle w:val="TableContents"/>
              <w:bidi w:val="0"/>
              <w:spacing w:before="0" w:after="0"/>
              <w:ind w:left="0" w:right="0" w:hanging="0"/>
              <w:jc w:val="left"/>
              <w:rPr/>
            </w:pPr>
            <w:hyperlink r:id="rId44">
              <w:r>
                <w:rPr>
                  <w:rStyle w:val="InternetLink"/>
                  <w:rFonts w:ascii="times new roman" w:hAnsi="times new roman"/>
                  <w:sz w:val="20"/>
                </w:rPr>
                <w:t>Second Amended and Restated Certificate of Formation of PEDEVCO Corp., filed with the Secretary of State of Texas on February 27, 2026</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center"/>
              <w:rPr/>
            </w:pPr>
            <w:r>
              <w:rPr/>
              <w:t> </w:t>
            </w:r>
          </w:p>
        </w:tc>
        <w:tc>
          <w:tcPr>
            <w:tcW w:w="90" w:type="dxa"/>
            <w:tcBorders/>
            <w:shd w:fill="CCEEFF" w:val="clear"/>
            <w:vAlign w:val="center"/>
          </w:tcPr>
          <w:p>
            <w:pPr>
              <w:pStyle w:val="TableContents"/>
              <w:bidi w:val="0"/>
              <w:spacing w:before="0" w:after="0"/>
              <w:ind w:left="0" w:right="0" w:hanging="0"/>
              <w:jc w:val="center"/>
              <w:rPr/>
            </w:pPr>
            <w:r>
              <w:rPr/>
              <w:t> </w:t>
            </w:r>
          </w:p>
        </w:tc>
        <w:tc>
          <w:tcPr>
            <w:tcW w:w="530"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6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921"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3/13/2026</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55" w:type="dxa"/>
            <w:gridSpan w:val="2"/>
            <w:tcBorders/>
            <w:shd w:fill="FFFFFF" w:val="clear"/>
            <w:vAlign w:val="center"/>
          </w:tcPr>
          <w:p>
            <w:pPr>
              <w:pStyle w:val="TableContents"/>
              <w:bidi w:val="0"/>
              <w:spacing w:before="0" w:after="0"/>
              <w:ind w:left="0" w:right="0" w:hanging="0"/>
              <w:jc w:val="left"/>
              <w:rPr/>
            </w:pPr>
            <w:hyperlink r:id="rId45">
              <w:r>
                <w:rPr>
                  <w:rStyle w:val="InternetLink"/>
                  <w:rFonts w:ascii="times new roman" w:hAnsi="times new roman"/>
                  <w:sz w:val="20"/>
                </w:rPr>
                <w:t>3.8</w:t>
              </w:r>
            </w:hyperlink>
          </w:p>
        </w:tc>
        <w:tc>
          <w:tcPr>
            <w:tcW w:w="102" w:type="dxa"/>
            <w:gridSpan w:val="2"/>
            <w:tcBorders/>
            <w:shd w:fill="FFFFFF" w:val="clear"/>
            <w:vAlign w:val="center"/>
          </w:tcPr>
          <w:p>
            <w:pPr>
              <w:pStyle w:val="TableContents"/>
              <w:bidi w:val="0"/>
              <w:spacing w:before="0" w:after="0"/>
              <w:ind w:left="0" w:right="0" w:hanging="0"/>
              <w:jc w:val="left"/>
              <w:rPr/>
            </w:pPr>
            <w:r>
              <w:rPr/>
              <w:t> </w:t>
            </w:r>
          </w:p>
        </w:tc>
        <w:tc>
          <w:tcPr>
            <w:tcW w:w="4798" w:type="dxa"/>
            <w:tcBorders/>
            <w:shd w:fill="FFFFFF" w:val="clear"/>
            <w:vAlign w:val="center"/>
          </w:tcPr>
          <w:p>
            <w:pPr>
              <w:pStyle w:val="TableContents"/>
              <w:bidi w:val="0"/>
              <w:spacing w:before="0" w:after="0"/>
              <w:ind w:left="0" w:right="0" w:hanging="0"/>
              <w:jc w:val="left"/>
              <w:rPr/>
            </w:pPr>
            <w:hyperlink r:id="rId46">
              <w:r>
                <w:rPr>
                  <w:rStyle w:val="InternetLink"/>
                  <w:rFonts w:ascii="times new roman" w:hAnsi="times new roman"/>
                  <w:sz w:val="20"/>
                </w:rPr>
                <w:t>Certificate of Amendment to Second Amended and Restated Certificate of Formation, affecting a 1-for-20 Reverse Stock Split of the Outstanding Common Stock, filed with the Secretary of State of Texas on March 10, 2026</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128" w:type="dxa"/>
            <w:tcBorders/>
            <w:shd w:fill="FFFFFF" w:val="clear"/>
            <w:vAlign w:val="center"/>
          </w:tcPr>
          <w:p>
            <w:pPr>
              <w:pStyle w:val="TableContents"/>
              <w:bidi w:val="0"/>
              <w:spacing w:before="0" w:after="0"/>
              <w:ind w:left="0" w:right="0" w:hanging="0"/>
              <w:jc w:val="center"/>
              <w:rPr/>
            </w:pPr>
            <w:r>
              <w:rPr/>
              <w:t> </w:t>
            </w:r>
          </w:p>
        </w:tc>
        <w:tc>
          <w:tcPr>
            <w:tcW w:w="90" w:type="dxa"/>
            <w:tcBorders/>
            <w:shd w:fill="FFFFFF" w:val="clear"/>
            <w:vAlign w:val="center"/>
          </w:tcPr>
          <w:p>
            <w:pPr>
              <w:pStyle w:val="TableContents"/>
              <w:bidi w:val="0"/>
              <w:spacing w:before="0" w:after="0"/>
              <w:ind w:left="0" w:right="0" w:hanging="0"/>
              <w:jc w:val="center"/>
              <w:rPr/>
            </w:pPr>
            <w:r>
              <w:rPr/>
              <w:t> </w:t>
            </w:r>
          </w:p>
        </w:tc>
        <w:tc>
          <w:tcPr>
            <w:tcW w:w="530" w:type="dxa"/>
            <w:gridSpan w:val="3"/>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6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3.2</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921" w:type="dxa"/>
            <w:gridSpan w:val="3"/>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3/13/2026</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841"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55" w:type="dxa"/>
            <w:gridSpan w:val="2"/>
            <w:tcBorders/>
            <w:shd w:fill="CCEEFF" w:val="clear"/>
            <w:vAlign w:val="center"/>
          </w:tcPr>
          <w:p>
            <w:pPr>
              <w:pStyle w:val="TableContents"/>
              <w:bidi w:val="0"/>
              <w:spacing w:before="0" w:after="0"/>
              <w:ind w:left="0" w:right="0" w:hanging="0"/>
              <w:jc w:val="left"/>
              <w:rPr/>
            </w:pPr>
            <w:hyperlink r:id="rId47">
              <w:r>
                <w:rPr>
                  <w:rStyle w:val="InternetLink"/>
                  <w:rFonts w:ascii="times new roman" w:hAnsi="times new roman"/>
                  <w:sz w:val="20"/>
                </w:rPr>
                <w:t>3.9</w:t>
              </w:r>
            </w:hyperlink>
          </w:p>
        </w:tc>
        <w:tc>
          <w:tcPr>
            <w:tcW w:w="102" w:type="dxa"/>
            <w:gridSpan w:val="2"/>
            <w:tcBorders/>
            <w:shd w:fill="CCEEFF" w:val="clear"/>
            <w:vAlign w:val="center"/>
          </w:tcPr>
          <w:p>
            <w:pPr>
              <w:pStyle w:val="TableContents"/>
              <w:bidi w:val="0"/>
              <w:spacing w:before="0" w:after="0"/>
              <w:ind w:left="0" w:right="0" w:hanging="0"/>
              <w:jc w:val="left"/>
              <w:rPr/>
            </w:pPr>
            <w:r>
              <w:rPr/>
              <w:t> </w:t>
            </w:r>
          </w:p>
        </w:tc>
        <w:tc>
          <w:tcPr>
            <w:tcW w:w="4798" w:type="dxa"/>
            <w:tcBorders/>
            <w:shd w:fill="CCEEFF" w:val="clear"/>
            <w:vAlign w:val="center"/>
          </w:tcPr>
          <w:p>
            <w:pPr>
              <w:pStyle w:val="TableContents"/>
              <w:bidi w:val="0"/>
              <w:spacing w:before="0" w:after="0"/>
              <w:ind w:left="0" w:right="0" w:hanging="0"/>
              <w:jc w:val="left"/>
              <w:rPr/>
            </w:pPr>
            <w:hyperlink r:id="rId48">
              <w:r>
                <w:rPr>
                  <w:rStyle w:val="InternetLink"/>
                  <w:rFonts w:ascii="times new roman" w:hAnsi="times new roman"/>
                  <w:sz w:val="20"/>
                </w:rPr>
                <w:t>Amended and Restated Bylaws of PEDEVCO Corp. dated October 29, 2025</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center"/>
              <w:rPr/>
            </w:pPr>
            <w:r>
              <w:rPr/>
              <w:t> </w:t>
            </w:r>
          </w:p>
        </w:tc>
        <w:tc>
          <w:tcPr>
            <w:tcW w:w="90" w:type="dxa"/>
            <w:tcBorders/>
            <w:shd w:fill="CCEEFF" w:val="clear"/>
            <w:vAlign w:val="center"/>
          </w:tcPr>
          <w:p>
            <w:pPr>
              <w:pStyle w:val="TableContents"/>
              <w:bidi w:val="0"/>
              <w:spacing w:before="0" w:after="0"/>
              <w:ind w:left="0" w:right="0" w:hanging="0"/>
              <w:jc w:val="center"/>
              <w:rPr/>
            </w:pPr>
            <w:r>
              <w:rPr/>
              <w:t> </w:t>
            </w:r>
          </w:p>
        </w:tc>
        <w:tc>
          <w:tcPr>
            <w:tcW w:w="530"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6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921"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11/5/2025</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55" w:type="dxa"/>
            <w:gridSpan w:val="2"/>
            <w:tcBorders/>
            <w:shd w:fill="FFFFFF" w:val="clear"/>
            <w:vAlign w:val="center"/>
          </w:tcPr>
          <w:p>
            <w:pPr>
              <w:pStyle w:val="TableContents"/>
              <w:bidi w:val="0"/>
              <w:spacing w:before="0" w:after="0"/>
              <w:ind w:left="0" w:right="0" w:hanging="0"/>
              <w:jc w:val="left"/>
              <w:rPr/>
            </w:pPr>
            <w:hyperlink r:id="rId49">
              <w:r>
                <w:rPr>
                  <w:rStyle w:val="InternetLink"/>
                  <w:rFonts w:ascii="times new roman" w:hAnsi="times new roman"/>
                  <w:sz w:val="20"/>
                </w:rPr>
                <w:t>4.1</w:t>
              </w:r>
            </w:hyperlink>
          </w:p>
        </w:tc>
        <w:tc>
          <w:tcPr>
            <w:tcW w:w="102" w:type="dxa"/>
            <w:gridSpan w:val="2"/>
            <w:tcBorders/>
            <w:shd w:fill="FFFFFF" w:val="clear"/>
            <w:vAlign w:val="center"/>
          </w:tcPr>
          <w:p>
            <w:pPr>
              <w:pStyle w:val="TableContents"/>
              <w:bidi w:val="0"/>
              <w:spacing w:before="0" w:after="0"/>
              <w:ind w:left="0" w:right="0" w:hanging="0"/>
              <w:jc w:val="left"/>
              <w:rPr/>
            </w:pPr>
            <w:r>
              <w:rPr/>
              <w:t> </w:t>
            </w:r>
          </w:p>
        </w:tc>
        <w:tc>
          <w:tcPr>
            <w:tcW w:w="4798" w:type="dxa"/>
            <w:tcBorders/>
            <w:shd w:fill="FFFFFF" w:val="clear"/>
            <w:vAlign w:val="center"/>
          </w:tcPr>
          <w:p>
            <w:pPr>
              <w:pStyle w:val="TableContents"/>
              <w:bidi w:val="0"/>
              <w:spacing w:before="0" w:after="0"/>
              <w:ind w:left="0" w:right="0" w:hanging="0"/>
              <w:jc w:val="left"/>
              <w:rPr/>
            </w:pPr>
            <w:hyperlink r:id="rId50">
              <w:r>
                <w:rPr>
                  <w:rStyle w:val="InternetLink"/>
                  <w:rFonts w:ascii="times new roman" w:hAnsi="times new roman"/>
                  <w:sz w:val="20"/>
                </w:rPr>
                <w:t>Description of Securities of the Registrant</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128"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0"/>
              <w:ind w:left="0" w:right="0" w:hanging="0"/>
              <w:jc w:val="center"/>
              <w:rPr/>
            </w:pPr>
            <w:r>
              <w:rPr/>
              <w:t> </w:t>
            </w:r>
          </w:p>
        </w:tc>
        <w:tc>
          <w:tcPr>
            <w:tcW w:w="530" w:type="dxa"/>
            <w:gridSpan w:val="3"/>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10-K </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6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4.1 </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921" w:type="dxa"/>
            <w:gridSpan w:val="3"/>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3/31/2026 </w:t>
            </w:r>
          </w:p>
        </w:tc>
        <w:tc>
          <w:tcPr>
            <w:tcW w:w="90" w:type="dxa"/>
            <w:gridSpan w:val="2"/>
            <w:tcBorders/>
            <w:shd w:fill="FFFFFF" w:val="clear"/>
            <w:vAlign w:val="center"/>
          </w:tcPr>
          <w:p>
            <w:pPr>
              <w:pStyle w:val="TableContents"/>
              <w:bidi w:val="0"/>
              <w:spacing w:before="0" w:after="0"/>
              <w:ind w:left="0" w:right="0" w:hanging="0"/>
              <w:jc w:val="center"/>
              <w:rPr/>
            </w:pPr>
            <w:r>
              <w:rPr/>
              <w:t> </w:t>
            </w:r>
          </w:p>
        </w:tc>
        <w:tc>
          <w:tcPr>
            <w:tcW w:w="841"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 </w:t>
            </w:r>
          </w:p>
        </w:tc>
      </w:tr>
      <w:tr>
        <w:trPr/>
        <w:tc>
          <w:tcPr>
            <w:tcW w:w="755" w:type="dxa"/>
            <w:gridSpan w:val="2"/>
            <w:tcBorders/>
            <w:shd w:fill="CCEEFF" w:val="clear"/>
            <w:vAlign w:val="center"/>
          </w:tcPr>
          <w:p>
            <w:pPr>
              <w:pStyle w:val="TableContents"/>
              <w:bidi w:val="0"/>
              <w:spacing w:before="0" w:after="0"/>
              <w:ind w:left="0" w:right="0" w:hanging="0"/>
              <w:jc w:val="left"/>
              <w:rPr/>
            </w:pPr>
            <w:hyperlink r:id="rId51">
              <w:r>
                <w:rPr>
                  <w:rStyle w:val="InternetLink"/>
                  <w:rFonts w:ascii="times new roman" w:hAnsi="times new roman"/>
                  <w:sz w:val="20"/>
                </w:rPr>
                <w:t>4.2</w:t>
              </w:r>
            </w:hyperlink>
          </w:p>
        </w:tc>
        <w:tc>
          <w:tcPr>
            <w:tcW w:w="102" w:type="dxa"/>
            <w:gridSpan w:val="2"/>
            <w:tcBorders/>
            <w:shd w:fill="CCEEFF" w:val="clear"/>
            <w:vAlign w:val="center"/>
          </w:tcPr>
          <w:p>
            <w:pPr>
              <w:pStyle w:val="TableContents"/>
              <w:bidi w:val="0"/>
              <w:spacing w:before="0" w:after="0"/>
              <w:ind w:left="0" w:right="0" w:hanging="0"/>
              <w:jc w:val="left"/>
              <w:rPr/>
            </w:pPr>
            <w:r>
              <w:rPr/>
              <w:t> </w:t>
            </w:r>
          </w:p>
        </w:tc>
        <w:tc>
          <w:tcPr>
            <w:tcW w:w="4798" w:type="dxa"/>
            <w:tcBorders/>
            <w:shd w:fill="CCEEFF" w:val="clear"/>
            <w:vAlign w:val="center"/>
          </w:tcPr>
          <w:p>
            <w:pPr>
              <w:pStyle w:val="TableContents"/>
              <w:bidi w:val="0"/>
              <w:spacing w:before="0" w:after="0"/>
              <w:ind w:left="0" w:right="0" w:hanging="0"/>
              <w:jc w:val="left"/>
              <w:rPr/>
            </w:pPr>
            <w:hyperlink r:id="rId52">
              <w:r>
                <w:rPr>
                  <w:rStyle w:val="InternetLink"/>
                  <w:rFonts w:ascii="times new roman" w:hAnsi="times new roman"/>
                  <w:sz w:val="20"/>
                </w:rPr>
                <w:t>Form of Common Stock Certificate for PEDEVCO CORP.</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center"/>
              <w:rPr/>
            </w:pPr>
            <w:r>
              <w:rPr/>
              <w:t> </w:t>
            </w:r>
          </w:p>
        </w:tc>
        <w:tc>
          <w:tcPr>
            <w:tcW w:w="90" w:type="dxa"/>
            <w:tcBorders/>
            <w:shd w:fill="CCEEFF" w:val="clear"/>
            <w:vAlign w:val="center"/>
          </w:tcPr>
          <w:p>
            <w:pPr>
              <w:pStyle w:val="TableContents"/>
              <w:bidi w:val="0"/>
              <w:spacing w:before="0" w:after="0"/>
              <w:ind w:left="0" w:right="0" w:hanging="0"/>
              <w:jc w:val="center"/>
              <w:rPr/>
            </w:pPr>
            <w:r>
              <w:rPr/>
              <w:t> </w:t>
            </w:r>
          </w:p>
        </w:tc>
        <w:tc>
          <w:tcPr>
            <w:tcW w:w="530"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S-3</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6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4.1</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921"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10/23/2013</w:t>
            </w:r>
          </w:p>
        </w:tc>
        <w:tc>
          <w:tcPr>
            <w:tcW w:w="90" w:type="dxa"/>
            <w:gridSpan w:val="2"/>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333-191869</w:t>
            </w:r>
          </w:p>
        </w:tc>
      </w:tr>
      <w:tr>
        <w:trPr/>
        <w:tc>
          <w:tcPr>
            <w:tcW w:w="704" w:type="dxa"/>
            <w:tcBorders/>
            <w:shd w:fill="FFFFFF" w:val="clear"/>
            <w:vAlign w:val="center"/>
          </w:tcPr>
          <w:p>
            <w:pPr>
              <w:pStyle w:val="TableContents"/>
              <w:bidi w:val="0"/>
              <w:spacing w:before="0" w:after="0"/>
              <w:ind w:left="0" w:right="0" w:hanging="0"/>
              <w:jc w:val="left"/>
              <w:rPr/>
            </w:pPr>
            <w:hyperlink w:anchor="ped_ex51.htm">
              <w:r>
                <w:rPr>
                  <w:rStyle w:val="InternetLink"/>
                  <w:rFonts w:ascii="times new roman" w:hAnsi="times new roman"/>
                  <w:sz w:val="20"/>
                </w:rPr>
                <w:t>5.1*</w:t>
              </w:r>
            </w:hyperlink>
          </w:p>
        </w:tc>
        <w:tc>
          <w:tcPr>
            <w:tcW w:w="90" w:type="dxa"/>
            <w:gridSpan w:val="2"/>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283"/>
              <w:jc w:val="left"/>
              <w:rPr>
                <w:sz w:val="4"/>
                <w:szCs w:val="4"/>
              </w:rPr>
            </w:pPr>
            <w:r>
              <w:rPr>
                <w:sz w:val="4"/>
                <w:szCs w:val="4"/>
              </w:rPr>
            </w:r>
          </w:p>
        </w:tc>
        <w:tc>
          <w:tcPr>
            <w:tcW w:w="4798" w:type="dxa"/>
            <w:tcBorders/>
            <w:shd w:fill="FFFFFF" w:val="clear"/>
            <w:vAlign w:val="center"/>
          </w:tcPr>
          <w:p>
            <w:pPr>
              <w:pStyle w:val="TableContents"/>
              <w:bidi w:val="0"/>
              <w:spacing w:before="0" w:after="0"/>
              <w:ind w:left="0" w:right="0" w:hanging="0"/>
              <w:jc w:val="left"/>
              <w:rPr/>
            </w:pPr>
            <w:hyperlink w:anchor="ped_ex51.htm">
              <w:r>
                <w:rPr>
                  <w:rStyle w:val="InternetLink"/>
                  <w:rFonts w:ascii="times new roman" w:hAnsi="times new roman"/>
                  <w:sz w:val="20"/>
                </w:rPr>
                <w:t>Opinion of The Loev Law Firm, PC</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128"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X</w:t>
            </w:r>
          </w:p>
        </w:tc>
        <w:tc>
          <w:tcPr>
            <w:tcW w:w="136" w:type="dxa"/>
            <w:gridSpan w:val="2"/>
            <w:tcBorders/>
            <w:shd w:fill="FFFFFF" w:val="clear"/>
            <w:vAlign w:val="center"/>
          </w:tcPr>
          <w:p>
            <w:pPr>
              <w:pStyle w:val="TableContents"/>
              <w:bidi w:val="0"/>
              <w:spacing w:before="0" w:after="0"/>
              <w:ind w:left="0" w:right="0" w:hanging="0"/>
              <w:jc w:val="center"/>
              <w:rPr/>
            </w:pPr>
            <w:r>
              <w:rPr/>
              <w:t> </w:t>
            </w:r>
          </w:p>
        </w:tc>
        <w:tc>
          <w:tcPr>
            <w:tcW w:w="436" w:type="dxa"/>
            <w:tcBorders/>
            <w:shd w:fill="FFFFFF" w:val="clear"/>
            <w:vAlign w:val="center"/>
          </w:tcPr>
          <w:p>
            <w:pPr>
              <w:pStyle w:val="TableContents"/>
              <w:bidi w:val="0"/>
              <w:spacing w:before="0" w:after="0"/>
              <w:ind w:left="0" w:right="0" w:hanging="0"/>
              <w:jc w:val="center"/>
              <w:rPr/>
            </w:pPr>
            <w:r>
              <w:rPr/>
              <w:t> </w:t>
            </w:r>
          </w:p>
        </w:tc>
        <w:tc>
          <w:tcPr>
            <w:tcW w:w="93" w:type="dxa"/>
            <w:gridSpan w:val="2"/>
            <w:tcBorders/>
            <w:shd w:fill="FFFFFF" w:val="clear"/>
            <w:vAlign w:val="center"/>
          </w:tcPr>
          <w:p>
            <w:pPr>
              <w:pStyle w:val="TableContents"/>
              <w:bidi w:val="0"/>
              <w:spacing w:before="0" w:after="0"/>
              <w:ind w:left="0" w:right="0" w:hanging="0"/>
              <w:jc w:val="center"/>
              <w:rPr/>
            </w:pPr>
            <w:r>
              <w:rPr/>
              <w:t> </w:t>
            </w:r>
          </w:p>
        </w:tc>
        <w:tc>
          <w:tcPr>
            <w:tcW w:w="770" w:type="dxa"/>
            <w:gridSpan w:val="3"/>
            <w:tcBorders/>
            <w:shd w:fill="FFFFFF" w:val="clear"/>
            <w:vAlign w:val="center"/>
          </w:tcPr>
          <w:p>
            <w:pPr>
              <w:pStyle w:val="TableContents"/>
              <w:bidi w:val="0"/>
              <w:spacing w:before="0" w:after="0"/>
              <w:ind w:left="0" w:right="0" w:hanging="0"/>
              <w:jc w:val="center"/>
              <w:rPr/>
            </w:pPr>
            <w:r>
              <w:rPr/>
              <w:t> </w:t>
            </w:r>
          </w:p>
        </w:tc>
        <w:tc>
          <w:tcPr>
            <w:tcW w:w="92" w:type="dxa"/>
            <w:gridSpan w:val="2"/>
            <w:tcBorders/>
            <w:shd w:fill="FFFFFF" w:val="clear"/>
            <w:vAlign w:val="center"/>
          </w:tcPr>
          <w:p>
            <w:pPr>
              <w:pStyle w:val="TableContents"/>
              <w:bidi w:val="0"/>
              <w:spacing w:before="0" w:after="0"/>
              <w:ind w:left="0" w:right="0" w:hanging="0"/>
              <w:jc w:val="center"/>
              <w:rPr/>
            </w:pPr>
            <w:r>
              <w:rPr/>
              <w:t> </w:t>
            </w:r>
          </w:p>
        </w:tc>
        <w:tc>
          <w:tcPr>
            <w:tcW w:w="827" w:type="dxa"/>
            <w:tcBorders/>
            <w:shd w:fill="FFFFFF" w:val="clear"/>
            <w:vAlign w:val="center"/>
          </w:tcPr>
          <w:p>
            <w:pPr>
              <w:pStyle w:val="TableContents"/>
              <w:bidi w:val="0"/>
              <w:spacing w:before="0" w:after="0"/>
              <w:ind w:left="0" w:right="0" w:hanging="0"/>
              <w:jc w:val="center"/>
              <w:rPr/>
            </w:pPr>
            <w:r>
              <w:rPr/>
              <w:t> </w:t>
            </w:r>
          </w:p>
        </w:tc>
        <w:tc>
          <w:tcPr>
            <w:tcW w:w="92" w:type="dxa"/>
            <w:gridSpan w:val="2"/>
            <w:tcBorders/>
            <w:shd w:fill="FFFFFF" w:val="clear"/>
            <w:vAlign w:val="center"/>
          </w:tcPr>
          <w:p>
            <w:pPr>
              <w:pStyle w:val="TableContents"/>
              <w:bidi w:val="0"/>
              <w:spacing w:before="0" w:after="0"/>
              <w:ind w:left="0" w:right="0" w:hanging="0"/>
              <w:jc w:val="center"/>
              <w:rPr/>
            </w:pPr>
            <w:r>
              <w:rPr/>
              <w:t> </w:t>
            </w:r>
          </w:p>
        </w:tc>
        <w:tc>
          <w:tcPr>
            <w:tcW w:w="886" w:type="dxa"/>
            <w:gridSpan w:val="2"/>
            <w:tcBorders/>
            <w:shd w:fill="FFFFFF" w:val="clear"/>
            <w:vAlign w:val="center"/>
          </w:tcPr>
          <w:p>
            <w:pPr>
              <w:pStyle w:val="TableContents"/>
              <w:bidi w:val="0"/>
              <w:spacing w:before="0" w:after="0"/>
              <w:ind w:left="0" w:right="0" w:hanging="0"/>
              <w:jc w:val="center"/>
              <w:rPr/>
            </w:pPr>
            <w:r>
              <w:rPr/>
              <w:t> </w:t>
            </w:r>
          </w:p>
        </w:tc>
      </w:tr>
      <w:tr>
        <w:trPr/>
        <w:tc>
          <w:tcPr>
            <w:tcW w:w="704" w:type="dxa"/>
            <w:tcBorders/>
            <w:shd w:fill="CCEEFF" w:val="clear"/>
            <w:vAlign w:val="center"/>
          </w:tcPr>
          <w:p>
            <w:pPr>
              <w:pStyle w:val="TableContents"/>
              <w:bidi w:val="0"/>
              <w:spacing w:before="0" w:after="0"/>
              <w:ind w:left="0" w:right="0" w:hanging="0"/>
              <w:jc w:val="left"/>
              <w:rPr/>
            </w:pPr>
            <w:hyperlink w:anchor="ped_ex101.htm">
              <w:r>
                <w:rPr>
                  <w:rStyle w:val="InternetLink"/>
                  <w:rFonts w:ascii="times new roman" w:hAnsi="times new roman"/>
                  <w:sz w:val="20"/>
                </w:rPr>
                <w:t>10.1*</w:t>
              </w:r>
            </w:hyperlink>
          </w:p>
        </w:tc>
        <w:tc>
          <w:tcPr>
            <w:tcW w:w="90" w:type="dxa"/>
            <w:gridSpan w:val="2"/>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4798" w:type="dxa"/>
            <w:tcBorders/>
            <w:shd w:fill="CCEEFF" w:val="clear"/>
            <w:vAlign w:val="center"/>
          </w:tcPr>
          <w:p>
            <w:pPr>
              <w:pStyle w:val="TableContents"/>
              <w:bidi w:val="0"/>
              <w:spacing w:before="0" w:after="0"/>
              <w:ind w:left="0" w:right="0" w:hanging="0"/>
              <w:jc w:val="left"/>
              <w:rPr/>
            </w:pPr>
            <w:hyperlink w:anchor="ped_ex101.htm">
              <w:r>
                <w:rPr>
                  <w:rStyle w:val="InternetLink"/>
                  <w:rFonts w:ascii="times new roman" w:hAnsi="times new roman"/>
                  <w:sz w:val="20"/>
                </w:rPr>
                <w:t>Form of Series A Convertible Preferred Stock Subscription Agreement (October 2025 PIPE Financing)</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X</w:t>
            </w:r>
          </w:p>
        </w:tc>
        <w:tc>
          <w:tcPr>
            <w:tcW w:w="136" w:type="dxa"/>
            <w:gridSpan w:val="2"/>
            <w:tcBorders/>
            <w:shd w:fill="CCEEFF" w:val="clear"/>
            <w:vAlign w:val="center"/>
          </w:tcPr>
          <w:p>
            <w:pPr>
              <w:pStyle w:val="TableContents"/>
              <w:bidi w:val="0"/>
              <w:spacing w:before="0" w:after="0"/>
              <w:ind w:left="0" w:right="0" w:hanging="0"/>
              <w:jc w:val="center"/>
              <w:rPr/>
            </w:pPr>
            <w:r>
              <w:rPr/>
              <w:t> </w:t>
            </w:r>
          </w:p>
        </w:tc>
        <w:tc>
          <w:tcPr>
            <w:tcW w:w="436" w:type="dxa"/>
            <w:tcBorders/>
            <w:shd w:fill="CCEEFF" w:val="clear"/>
            <w:vAlign w:val="center"/>
          </w:tcPr>
          <w:p>
            <w:pPr>
              <w:pStyle w:val="TableContents"/>
              <w:bidi w:val="0"/>
              <w:spacing w:before="0" w:after="0"/>
              <w:ind w:left="0" w:right="0" w:hanging="0"/>
              <w:jc w:val="center"/>
              <w:rPr/>
            </w:pPr>
            <w:r>
              <w:rPr/>
              <w:t> </w:t>
            </w:r>
          </w:p>
        </w:tc>
        <w:tc>
          <w:tcPr>
            <w:tcW w:w="93" w:type="dxa"/>
            <w:gridSpan w:val="2"/>
            <w:tcBorders/>
            <w:shd w:fill="CCEEFF" w:val="clear"/>
            <w:vAlign w:val="center"/>
          </w:tcPr>
          <w:p>
            <w:pPr>
              <w:pStyle w:val="TableContents"/>
              <w:bidi w:val="0"/>
              <w:spacing w:before="0" w:after="0"/>
              <w:ind w:left="0" w:right="0" w:hanging="0"/>
              <w:jc w:val="center"/>
              <w:rPr/>
            </w:pPr>
            <w:r>
              <w:rPr/>
              <w:t> </w:t>
            </w:r>
          </w:p>
        </w:tc>
        <w:tc>
          <w:tcPr>
            <w:tcW w:w="770" w:type="dxa"/>
            <w:gridSpan w:val="3"/>
            <w:tcBorders/>
            <w:shd w:fill="CCEEFF" w:val="clear"/>
            <w:vAlign w:val="center"/>
          </w:tcPr>
          <w:p>
            <w:pPr>
              <w:pStyle w:val="TableContents"/>
              <w:bidi w:val="0"/>
              <w:spacing w:before="0" w:after="0"/>
              <w:ind w:left="0" w:right="0" w:hanging="0"/>
              <w:jc w:val="center"/>
              <w:rPr/>
            </w:pPr>
            <w:r>
              <w:rPr/>
              <w:t> </w:t>
            </w:r>
          </w:p>
        </w:tc>
        <w:tc>
          <w:tcPr>
            <w:tcW w:w="92" w:type="dxa"/>
            <w:gridSpan w:val="2"/>
            <w:tcBorders/>
            <w:shd w:fill="CCEEFF" w:val="clear"/>
            <w:vAlign w:val="center"/>
          </w:tcPr>
          <w:p>
            <w:pPr>
              <w:pStyle w:val="TableContents"/>
              <w:bidi w:val="0"/>
              <w:spacing w:before="0" w:after="0"/>
              <w:ind w:left="0" w:right="0" w:hanging="0"/>
              <w:jc w:val="center"/>
              <w:rPr/>
            </w:pPr>
            <w:r>
              <w:rPr/>
              <w:t> </w:t>
            </w:r>
          </w:p>
        </w:tc>
        <w:tc>
          <w:tcPr>
            <w:tcW w:w="827" w:type="dxa"/>
            <w:tcBorders/>
            <w:shd w:fill="CCEEFF" w:val="clear"/>
            <w:vAlign w:val="center"/>
          </w:tcPr>
          <w:p>
            <w:pPr>
              <w:pStyle w:val="TableContents"/>
              <w:bidi w:val="0"/>
              <w:spacing w:before="0" w:after="0"/>
              <w:ind w:left="0" w:right="0" w:hanging="0"/>
              <w:jc w:val="center"/>
              <w:rPr/>
            </w:pPr>
            <w:r>
              <w:rPr/>
              <w:t> </w:t>
            </w:r>
          </w:p>
        </w:tc>
        <w:tc>
          <w:tcPr>
            <w:tcW w:w="92" w:type="dxa"/>
            <w:gridSpan w:val="2"/>
            <w:tcBorders/>
            <w:shd w:fill="CCEEFF" w:val="clear"/>
            <w:vAlign w:val="center"/>
          </w:tcPr>
          <w:p>
            <w:pPr>
              <w:pStyle w:val="TableContents"/>
              <w:bidi w:val="0"/>
              <w:spacing w:before="0" w:after="0"/>
              <w:ind w:left="0" w:right="0" w:hanging="0"/>
              <w:jc w:val="center"/>
              <w:rPr/>
            </w:pPr>
            <w:r>
              <w:rPr/>
              <w:t> </w:t>
            </w:r>
          </w:p>
        </w:tc>
        <w:tc>
          <w:tcPr>
            <w:tcW w:w="886" w:type="dxa"/>
            <w:gridSpan w:val="2"/>
            <w:tcBorders/>
            <w:shd w:fill="CCEEFF" w:val="clear"/>
            <w:vAlign w:val="center"/>
          </w:tcPr>
          <w:p>
            <w:pPr>
              <w:pStyle w:val="TableContents"/>
              <w:bidi w:val="0"/>
              <w:spacing w:before="0" w:after="0"/>
              <w:ind w:left="0" w:right="0" w:hanging="0"/>
              <w:jc w:val="center"/>
              <w:rPr/>
            </w:pPr>
            <w:r>
              <w:rPr/>
              <w:t> </w:t>
            </w:r>
          </w:p>
        </w:tc>
      </w:tr>
      <w:tr>
        <w:trPr/>
        <w:tc>
          <w:tcPr>
            <w:tcW w:w="704" w:type="dxa"/>
            <w:tcBorders/>
            <w:shd w:fill="FFFFFF" w:val="clear"/>
            <w:vAlign w:val="center"/>
          </w:tcPr>
          <w:p>
            <w:pPr>
              <w:pStyle w:val="TableContents"/>
              <w:bidi w:val="0"/>
              <w:spacing w:before="0" w:after="0"/>
              <w:ind w:left="0" w:right="0" w:hanging="0"/>
              <w:jc w:val="left"/>
              <w:rPr/>
            </w:pPr>
            <w:hyperlink r:id="rId53">
              <w:r>
                <w:rPr>
                  <w:rStyle w:val="InternetLink"/>
                  <w:rFonts w:ascii="times new roman" w:hAnsi="times new roman"/>
                  <w:sz w:val="20"/>
                </w:rPr>
                <w:t>10.2</w:t>
              </w:r>
            </w:hyperlink>
          </w:p>
        </w:tc>
        <w:tc>
          <w:tcPr>
            <w:tcW w:w="90" w:type="dxa"/>
            <w:gridSpan w:val="2"/>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283"/>
              <w:jc w:val="left"/>
              <w:rPr>
                <w:sz w:val="4"/>
                <w:szCs w:val="4"/>
              </w:rPr>
            </w:pPr>
            <w:r>
              <w:rPr>
                <w:sz w:val="4"/>
                <w:szCs w:val="4"/>
              </w:rPr>
            </w:r>
          </w:p>
        </w:tc>
        <w:tc>
          <w:tcPr>
            <w:tcW w:w="4798" w:type="dxa"/>
            <w:tcBorders/>
            <w:shd w:fill="FFFFFF" w:val="clear"/>
            <w:vAlign w:val="center"/>
          </w:tcPr>
          <w:p>
            <w:pPr>
              <w:pStyle w:val="TableContents"/>
              <w:bidi w:val="0"/>
              <w:spacing w:before="0" w:after="0"/>
              <w:ind w:left="0" w:right="0" w:hanging="0"/>
              <w:jc w:val="left"/>
              <w:rPr/>
            </w:pPr>
            <w:hyperlink r:id="rId54">
              <w:r>
                <w:rPr>
                  <w:rStyle w:val="InternetLink"/>
                  <w:rFonts w:ascii="times new roman" w:hAnsi="times new roman"/>
                  <w:sz w:val="20"/>
                </w:rPr>
                <w:t>Shareholder Agreement, dated October 31, 2025, by and among PEDEVCO Corp., Century Oil and Gas Holdings, LLC, North Peak Oil &amp; Gas Holdings, LLC, The SGK 2018 Revocable Trust</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128" w:type="dxa"/>
            <w:tcBorders/>
            <w:shd w:fill="FFFFFF" w:val="clear"/>
            <w:vAlign w:val="center"/>
          </w:tcPr>
          <w:p>
            <w:pPr>
              <w:pStyle w:val="TableContents"/>
              <w:bidi w:val="0"/>
              <w:spacing w:before="0" w:after="0"/>
              <w:ind w:left="0" w:right="0" w:hanging="0"/>
              <w:jc w:val="center"/>
              <w:rPr/>
            </w:pPr>
            <w:r>
              <w:rPr/>
              <w:t> </w:t>
            </w:r>
          </w:p>
        </w:tc>
        <w:tc>
          <w:tcPr>
            <w:tcW w:w="136" w:type="dxa"/>
            <w:gridSpan w:val="2"/>
            <w:tcBorders/>
            <w:shd w:fill="FFFFFF" w:val="clear"/>
            <w:vAlign w:val="center"/>
          </w:tcPr>
          <w:p>
            <w:pPr>
              <w:pStyle w:val="TableContents"/>
              <w:bidi w:val="0"/>
              <w:spacing w:before="0" w:after="0"/>
              <w:ind w:left="0" w:right="0" w:hanging="0"/>
              <w:jc w:val="center"/>
              <w:rPr/>
            </w:pPr>
            <w:r>
              <w:rPr/>
              <w:t> </w:t>
            </w:r>
          </w:p>
        </w:tc>
        <w:tc>
          <w:tcPr>
            <w:tcW w:w="436"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3" w:type="dxa"/>
            <w:gridSpan w:val="2"/>
            <w:tcBorders/>
            <w:shd w:fill="FFFFFF" w:val="clear"/>
            <w:vAlign w:val="center"/>
          </w:tcPr>
          <w:p>
            <w:pPr>
              <w:pStyle w:val="TableContents"/>
              <w:bidi w:val="0"/>
              <w:spacing w:before="0" w:after="0"/>
              <w:ind w:left="0" w:right="0" w:hanging="0"/>
              <w:jc w:val="center"/>
              <w:rPr/>
            </w:pPr>
            <w:r>
              <w:rPr/>
              <w:t> </w:t>
            </w:r>
          </w:p>
        </w:tc>
        <w:tc>
          <w:tcPr>
            <w:tcW w:w="770" w:type="dxa"/>
            <w:gridSpan w:val="3"/>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w:t>
            </w:r>
          </w:p>
        </w:tc>
        <w:tc>
          <w:tcPr>
            <w:tcW w:w="92" w:type="dxa"/>
            <w:gridSpan w:val="2"/>
            <w:tcBorders/>
            <w:shd w:fill="FFFFFF" w:val="clear"/>
            <w:vAlign w:val="center"/>
          </w:tcPr>
          <w:p>
            <w:pPr>
              <w:pStyle w:val="TableContents"/>
              <w:bidi w:val="0"/>
              <w:spacing w:before="0" w:after="0"/>
              <w:ind w:left="0" w:right="0" w:hanging="0"/>
              <w:jc w:val="center"/>
              <w:rPr/>
            </w:pPr>
            <w:r>
              <w:rPr/>
              <w:t> </w:t>
            </w:r>
          </w:p>
        </w:tc>
        <w:tc>
          <w:tcPr>
            <w:tcW w:w="827"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11/3/2025</w:t>
            </w:r>
          </w:p>
        </w:tc>
        <w:tc>
          <w:tcPr>
            <w:tcW w:w="92" w:type="dxa"/>
            <w:gridSpan w:val="2"/>
            <w:tcBorders/>
            <w:shd w:fill="FFFFFF" w:val="clear"/>
            <w:vAlign w:val="center"/>
          </w:tcPr>
          <w:p>
            <w:pPr>
              <w:pStyle w:val="TableContents"/>
              <w:bidi w:val="0"/>
              <w:spacing w:before="0" w:after="0"/>
              <w:ind w:left="0" w:right="0" w:hanging="0"/>
              <w:jc w:val="center"/>
              <w:rPr/>
            </w:pPr>
            <w:r>
              <w:rPr/>
              <w:t> </w:t>
            </w:r>
          </w:p>
        </w:tc>
        <w:tc>
          <w:tcPr>
            <w:tcW w:w="886"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04" w:type="dxa"/>
            <w:tcBorders/>
            <w:shd w:fill="CCEEFF" w:val="clear"/>
            <w:vAlign w:val="center"/>
          </w:tcPr>
          <w:p>
            <w:pPr>
              <w:pStyle w:val="TableContents"/>
              <w:bidi w:val="0"/>
              <w:spacing w:before="0" w:after="0"/>
              <w:ind w:left="0" w:right="0" w:hanging="0"/>
              <w:jc w:val="left"/>
              <w:rPr/>
            </w:pPr>
            <w:hyperlink r:id="rId55">
              <w:r>
                <w:rPr>
                  <w:rStyle w:val="InternetLink"/>
                  <w:rFonts w:ascii="times new roman" w:hAnsi="times new roman"/>
                  <w:sz w:val="20"/>
                </w:rPr>
                <w:t>10.3</w:t>
              </w:r>
            </w:hyperlink>
          </w:p>
        </w:tc>
        <w:tc>
          <w:tcPr>
            <w:tcW w:w="90" w:type="dxa"/>
            <w:gridSpan w:val="2"/>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4798" w:type="dxa"/>
            <w:tcBorders/>
            <w:shd w:fill="CCEEFF" w:val="clear"/>
            <w:vAlign w:val="center"/>
          </w:tcPr>
          <w:p>
            <w:pPr>
              <w:pStyle w:val="TableContents"/>
              <w:bidi w:val="0"/>
              <w:spacing w:before="0" w:after="0"/>
              <w:ind w:left="0" w:right="0" w:hanging="0"/>
              <w:jc w:val="left"/>
              <w:rPr/>
            </w:pPr>
            <w:hyperlink r:id="rId56">
              <w:r>
                <w:rPr>
                  <w:rStyle w:val="InternetLink"/>
                  <w:rFonts w:ascii="times new roman" w:hAnsi="times new roman"/>
                  <w:sz w:val="20"/>
                </w:rPr>
                <w:t>Form of Support Agreement dated October 31, 2025</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center"/>
              <w:rPr/>
            </w:pPr>
            <w:r>
              <w:rPr/>
              <w:t> </w:t>
            </w:r>
          </w:p>
        </w:tc>
        <w:tc>
          <w:tcPr>
            <w:tcW w:w="136" w:type="dxa"/>
            <w:gridSpan w:val="2"/>
            <w:tcBorders/>
            <w:shd w:fill="CCEEFF" w:val="clear"/>
            <w:vAlign w:val="center"/>
          </w:tcPr>
          <w:p>
            <w:pPr>
              <w:pStyle w:val="TableContents"/>
              <w:bidi w:val="0"/>
              <w:spacing w:before="0" w:after="0"/>
              <w:ind w:left="0" w:right="0" w:hanging="0"/>
              <w:jc w:val="center"/>
              <w:rPr/>
            </w:pPr>
            <w:r>
              <w:rPr/>
              <w:t> </w:t>
            </w:r>
          </w:p>
        </w:tc>
        <w:tc>
          <w:tcPr>
            <w:tcW w:w="436"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3" w:type="dxa"/>
            <w:gridSpan w:val="2"/>
            <w:tcBorders/>
            <w:shd w:fill="CCEEFF" w:val="clear"/>
            <w:vAlign w:val="center"/>
          </w:tcPr>
          <w:p>
            <w:pPr>
              <w:pStyle w:val="TableContents"/>
              <w:bidi w:val="0"/>
              <w:spacing w:before="0" w:after="0"/>
              <w:ind w:left="0" w:right="0" w:hanging="0"/>
              <w:jc w:val="center"/>
              <w:rPr/>
            </w:pPr>
            <w:r>
              <w:rPr/>
              <w:t> </w:t>
            </w:r>
          </w:p>
        </w:tc>
        <w:tc>
          <w:tcPr>
            <w:tcW w:w="770" w:type="dxa"/>
            <w:gridSpan w:val="3"/>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10.3</w:t>
            </w:r>
          </w:p>
        </w:tc>
        <w:tc>
          <w:tcPr>
            <w:tcW w:w="92" w:type="dxa"/>
            <w:gridSpan w:val="2"/>
            <w:tcBorders/>
            <w:shd w:fill="CCEEFF" w:val="clear"/>
            <w:vAlign w:val="center"/>
          </w:tcPr>
          <w:p>
            <w:pPr>
              <w:pStyle w:val="TableContents"/>
              <w:bidi w:val="0"/>
              <w:spacing w:before="0" w:after="0"/>
              <w:ind w:left="0" w:right="0" w:hanging="0"/>
              <w:jc w:val="center"/>
              <w:rPr/>
            </w:pPr>
            <w:r>
              <w:rPr/>
              <w:t> </w:t>
            </w:r>
          </w:p>
        </w:tc>
        <w:tc>
          <w:tcPr>
            <w:tcW w:w="827"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11/3/2025</w:t>
            </w:r>
          </w:p>
        </w:tc>
        <w:tc>
          <w:tcPr>
            <w:tcW w:w="92" w:type="dxa"/>
            <w:gridSpan w:val="2"/>
            <w:tcBorders/>
            <w:shd w:fill="CCEEFF" w:val="clear"/>
            <w:vAlign w:val="center"/>
          </w:tcPr>
          <w:p>
            <w:pPr>
              <w:pStyle w:val="TableContents"/>
              <w:bidi w:val="0"/>
              <w:spacing w:before="0" w:after="0"/>
              <w:ind w:left="0" w:right="0" w:hanging="0"/>
              <w:jc w:val="center"/>
              <w:rPr/>
            </w:pPr>
            <w:r>
              <w:rPr/>
              <w:t> </w:t>
            </w:r>
          </w:p>
        </w:tc>
        <w:tc>
          <w:tcPr>
            <w:tcW w:w="886" w:type="dxa"/>
            <w:gridSpan w:val="2"/>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04" w:type="dxa"/>
            <w:tcBorders/>
            <w:shd w:fill="FFFFFF" w:val="clear"/>
            <w:vAlign w:val="center"/>
          </w:tcPr>
          <w:p>
            <w:pPr>
              <w:pStyle w:val="TableContents"/>
              <w:bidi w:val="0"/>
              <w:spacing w:before="0" w:after="0"/>
              <w:ind w:left="0" w:right="0" w:hanging="0"/>
              <w:jc w:val="left"/>
              <w:rPr/>
            </w:pPr>
            <w:hyperlink w:anchor="ped_ex231.htm">
              <w:r>
                <w:rPr>
                  <w:rStyle w:val="InternetLink"/>
                  <w:rFonts w:ascii="times new roman" w:hAnsi="times new roman"/>
                  <w:sz w:val="20"/>
                </w:rPr>
                <w:t>23.1*</w:t>
              </w:r>
            </w:hyperlink>
          </w:p>
        </w:tc>
        <w:tc>
          <w:tcPr>
            <w:tcW w:w="90" w:type="dxa"/>
            <w:gridSpan w:val="2"/>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283"/>
              <w:jc w:val="left"/>
              <w:rPr>
                <w:sz w:val="4"/>
                <w:szCs w:val="4"/>
              </w:rPr>
            </w:pPr>
            <w:r>
              <w:rPr>
                <w:sz w:val="4"/>
                <w:szCs w:val="4"/>
              </w:rPr>
            </w:r>
          </w:p>
        </w:tc>
        <w:tc>
          <w:tcPr>
            <w:tcW w:w="4798" w:type="dxa"/>
            <w:tcBorders/>
            <w:shd w:fill="FFFFFF" w:val="clear"/>
            <w:vAlign w:val="center"/>
          </w:tcPr>
          <w:p>
            <w:pPr>
              <w:pStyle w:val="TableContents"/>
              <w:bidi w:val="0"/>
              <w:spacing w:before="0" w:after="0"/>
              <w:ind w:left="0" w:right="0" w:hanging="0"/>
              <w:jc w:val="left"/>
              <w:rPr/>
            </w:pPr>
            <w:hyperlink w:anchor="ped_ex231.htm">
              <w:r>
                <w:rPr>
                  <w:rStyle w:val="InternetLink"/>
                  <w:rFonts w:ascii="times new roman" w:hAnsi="times new roman"/>
                  <w:sz w:val="20"/>
                </w:rPr>
                <w:t>Consent of Weaver and Tidwell, L.L.P.*</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128"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X</w:t>
            </w:r>
          </w:p>
        </w:tc>
        <w:tc>
          <w:tcPr>
            <w:tcW w:w="136" w:type="dxa"/>
            <w:gridSpan w:val="2"/>
            <w:tcBorders/>
            <w:shd w:fill="FFFFFF" w:val="clear"/>
            <w:vAlign w:val="center"/>
          </w:tcPr>
          <w:p>
            <w:pPr>
              <w:pStyle w:val="TableContents"/>
              <w:bidi w:val="0"/>
              <w:spacing w:before="0" w:after="0"/>
              <w:ind w:left="0" w:right="0" w:hanging="0"/>
              <w:jc w:val="center"/>
              <w:rPr/>
            </w:pPr>
            <w:r>
              <w:rPr/>
              <w:t> </w:t>
            </w:r>
          </w:p>
        </w:tc>
        <w:tc>
          <w:tcPr>
            <w:tcW w:w="436" w:type="dxa"/>
            <w:tcBorders/>
            <w:shd w:fill="FFFFFF" w:val="clear"/>
            <w:vAlign w:val="center"/>
          </w:tcPr>
          <w:p>
            <w:pPr>
              <w:pStyle w:val="TableContents"/>
              <w:bidi w:val="0"/>
              <w:spacing w:before="0" w:after="0"/>
              <w:ind w:left="0" w:right="0" w:hanging="0"/>
              <w:jc w:val="center"/>
              <w:rPr/>
            </w:pPr>
            <w:r>
              <w:rPr/>
              <w:t> </w:t>
            </w:r>
          </w:p>
        </w:tc>
        <w:tc>
          <w:tcPr>
            <w:tcW w:w="93" w:type="dxa"/>
            <w:gridSpan w:val="2"/>
            <w:tcBorders/>
            <w:shd w:fill="FFFFFF" w:val="clear"/>
            <w:vAlign w:val="center"/>
          </w:tcPr>
          <w:p>
            <w:pPr>
              <w:pStyle w:val="TableContents"/>
              <w:bidi w:val="0"/>
              <w:spacing w:before="0" w:after="0"/>
              <w:ind w:left="0" w:right="0" w:hanging="0"/>
              <w:jc w:val="center"/>
              <w:rPr/>
            </w:pPr>
            <w:r>
              <w:rPr/>
              <w:t> </w:t>
            </w:r>
          </w:p>
        </w:tc>
        <w:tc>
          <w:tcPr>
            <w:tcW w:w="770" w:type="dxa"/>
            <w:gridSpan w:val="3"/>
            <w:tcBorders/>
            <w:shd w:fill="FFFFFF" w:val="clear"/>
            <w:vAlign w:val="center"/>
          </w:tcPr>
          <w:p>
            <w:pPr>
              <w:pStyle w:val="TableContents"/>
              <w:bidi w:val="0"/>
              <w:spacing w:before="0" w:after="0"/>
              <w:ind w:left="0" w:right="0" w:hanging="0"/>
              <w:jc w:val="center"/>
              <w:rPr/>
            </w:pPr>
            <w:r>
              <w:rPr/>
              <w:t> </w:t>
            </w:r>
          </w:p>
        </w:tc>
        <w:tc>
          <w:tcPr>
            <w:tcW w:w="92" w:type="dxa"/>
            <w:gridSpan w:val="2"/>
            <w:tcBorders/>
            <w:shd w:fill="FFFFFF" w:val="clear"/>
            <w:vAlign w:val="center"/>
          </w:tcPr>
          <w:p>
            <w:pPr>
              <w:pStyle w:val="TableContents"/>
              <w:bidi w:val="0"/>
              <w:spacing w:before="0" w:after="0"/>
              <w:ind w:left="0" w:right="0" w:hanging="0"/>
              <w:jc w:val="center"/>
              <w:rPr/>
            </w:pPr>
            <w:r>
              <w:rPr/>
              <w:t> </w:t>
            </w:r>
          </w:p>
        </w:tc>
        <w:tc>
          <w:tcPr>
            <w:tcW w:w="827" w:type="dxa"/>
            <w:tcBorders/>
            <w:shd w:fill="FFFFFF" w:val="clear"/>
            <w:vAlign w:val="center"/>
          </w:tcPr>
          <w:p>
            <w:pPr>
              <w:pStyle w:val="TableContents"/>
              <w:bidi w:val="0"/>
              <w:spacing w:before="0" w:after="0"/>
              <w:ind w:left="0" w:right="0" w:hanging="0"/>
              <w:jc w:val="center"/>
              <w:rPr/>
            </w:pPr>
            <w:r>
              <w:rPr/>
              <w:t> </w:t>
            </w:r>
          </w:p>
        </w:tc>
        <w:tc>
          <w:tcPr>
            <w:tcW w:w="92" w:type="dxa"/>
            <w:gridSpan w:val="2"/>
            <w:tcBorders/>
            <w:shd w:fill="FFFFFF" w:val="clear"/>
            <w:vAlign w:val="center"/>
          </w:tcPr>
          <w:p>
            <w:pPr>
              <w:pStyle w:val="TableContents"/>
              <w:bidi w:val="0"/>
              <w:spacing w:before="0" w:after="0"/>
              <w:ind w:left="0" w:right="0" w:hanging="0"/>
              <w:jc w:val="center"/>
              <w:rPr/>
            </w:pPr>
            <w:r>
              <w:rPr/>
              <w:t> </w:t>
            </w:r>
          </w:p>
        </w:tc>
        <w:tc>
          <w:tcPr>
            <w:tcW w:w="886" w:type="dxa"/>
            <w:gridSpan w:val="2"/>
            <w:tcBorders/>
            <w:shd w:fill="FFFFFF" w:val="clear"/>
            <w:vAlign w:val="center"/>
          </w:tcPr>
          <w:p>
            <w:pPr>
              <w:pStyle w:val="TableContents"/>
              <w:bidi w:val="0"/>
              <w:spacing w:before="0" w:after="0"/>
              <w:ind w:left="0" w:right="0" w:hanging="0"/>
              <w:jc w:val="center"/>
              <w:rPr/>
            </w:pPr>
            <w:r>
              <w:rPr/>
              <w:t> </w:t>
            </w:r>
          </w:p>
        </w:tc>
      </w:tr>
      <w:tr>
        <w:trPr/>
        <w:tc>
          <w:tcPr>
            <w:tcW w:w="704" w:type="dxa"/>
            <w:tcBorders/>
            <w:shd w:fill="CCEEFF" w:val="clear"/>
            <w:vAlign w:val="center"/>
          </w:tcPr>
          <w:p>
            <w:pPr>
              <w:pStyle w:val="TableContents"/>
              <w:bidi w:val="0"/>
              <w:spacing w:before="0" w:after="0"/>
              <w:ind w:left="0" w:right="0" w:hanging="0"/>
              <w:jc w:val="left"/>
              <w:rPr/>
            </w:pPr>
            <w:hyperlink w:anchor="ped_ex232.htm">
              <w:r>
                <w:rPr>
                  <w:rStyle w:val="InternetLink"/>
                  <w:rFonts w:ascii="times new roman" w:hAnsi="times new roman"/>
                  <w:sz w:val="20"/>
                </w:rPr>
                <w:t>23.2*</w:t>
              </w:r>
            </w:hyperlink>
          </w:p>
        </w:tc>
        <w:tc>
          <w:tcPr>
            <w:tcW w:w="90" w:type="dxa"/>
            <w:gridSpan w:val="2"/>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4798" w:type="dxa"/>
            <w:tcBorders/>
            <w:shd w:fill="CCEEFF" w:val="clear"/>
            <w:vAlign w:val="center"/>
          </w:tcPr>
          <w:p>
            <w:pPr>
              <w:pStyle w:val="TableContents"/>
              <w:bidi w:val="0"/>
              <w:spacing w:before="0" w:after="0"/>
              <w:ind w:left="0" w:right="0" w:hanging="0"/>
              <w:jc w:val="left"/>
              <w:rPr/>
            </w:pPr>
            <w:hyperlink w:anchor="ped_ex232.htm">
              <w:r>
                <w:rPr>
                  <w:rStyle w:val="InternetLink"/>
                  <w:rFonts w:ascii="times new roman" w:hAnsi="times new roman"/>
                  <w:sz w:val="20"/>
                </w:rPr>
                <w:t>Consent of Whitley Penn LLP</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X</w:t>
            </w:r>
          </w:p>
        </w:tc>
        <w:tc>
          <w:tcPr>
            <w:tcW w:w="136" w:type="dxa"/>
            <w:gridSpan w:val="2"/>
            <w:tcBorders/>
            <w:shd w:fill="CCEEFF" w:val="clear"/>
            <w:vAlign w:val="center"/>
          </w:tcPr>
          <w:p>
            <w:pPr>
              <w:pStyle w:val="TableContents"/>
              <w:bidi w:val="0"/>
              <w:spacing w:before="0" w:after="0"/>
              <w:ind w:left="0" w:right="0" w:hanging="0"/>
              <w:jc w:val="center"/>
              <w:rPr/>
            </w:pPr>
            <w:r>
              <w:rPr/>
              <w:t> </w:t>
            </w:r>
          </w:p>
        </w:tc>
        <w:tc>
          <w:tcPr>
            <w:tcW w:w="436" w:type="dxa"/>
            <w:tcBorders/>
            <w:shd w:fill="CCEEFF" w:val="clear"/>
            <w:vAlign w:val="center"/>
          </w:tcPr>
          <w:p>
            <w:pPr>
              <w:pStyle w:val="TableContents"/>
              <w:bidi w:val="0"/>
              <w:spacing w:before="0" w:after="0"/>
              <w:ind w:left="0" w:right="0" w:hanging="0"/>
              <w:jc w:val="center"/>
              <w:rPr/>
            </w:pPr>
            <w:r>
              <w:rPr/>
              <w:t> </w:t>
            </w:r>
          </w:p>
        </w:tc>
        <w:tc>
          <w:tcPr>
            <w:tcW w:w="93" w:type="dxa"/>
            <w:gridSpan w:val="2"/>
            <w:tcBorders/>
            <w:shd w:fill="CCEEFF" w:val="clear"/>
            <w:vAlign w:val="center"/>
          </w:tcPr>
          <w:p>
            <w:pPr>
              <w:pStyle w:val="TableContents"/>
              <w:bidi w:val="0"/>
              <w:spacing w:before="0" w:after="0"/>
              <w:ind w:left="0" w:right="0" w:hanging="0"/>
              <w:jc w:val="center"/>
              <w:rPr/>
            </w:pPr>
            <w:r>
              <w:rPr/>
              <w:t> </w:t>
            </w:r>
          </w:p>
        </w:tc>
        <w:tc>
          <w:tcPr>
            <w:tcW w:w="770" w:type="dxa"/>
            <w:gridSpan w:val="3"/>
            <w:tcBorders/>
            <w:shd w:fill="CCEEFF" w:val="clear"/>
            <w:vAlign w:val="center"/>
          </w:tcPr>
          <w:p>
            <w:pPr>
              <w:pStyle w:val="TableContents"/>
              <w:bidi w:val="0"/>
              <w:spacing w:before="0" w:after="0"/>
              <w:ind w:left="0" w:right="0" w:hanging="0"/>
              <w:jc w:val="center"/>
              <w:rPr/>
            </w:pPr>
            <w:r>
              <w:rPr/>
              <w:t> </w:t>
            </w:r>
          </w:p>
        </w:tc>
        <w:tc>
          <w:tcPr>
            <w:tcW w:w="92" w:type="dxa"/>
            <w:gridSpan w:val="2"/>
            <w:tcBorders/>
            <w:shd w:fill="CCEEFF" w:val="clear"/>
            <w:vAlign w:val="center"/>
          </w:tcPr>
          <w:p>
            <w:pPr>
              <w:pStyle w:val="TableContents"/>
              <w:bidi w:val="0"/>
              <w:spacing w:before="0" w:after="0"/>
              <w:ind w:left="0" w:right="0" w:hanging="0"/>
              <w:jc w:val="center"/>
              <w:rPr/>
            </w:pPr>
            <w:r>
              <w:rPr/>
              <w:t> </w:t>
            </w:r>
          </w:p>
        </w:tc>
        <w:tc>
          <w:tcPr>
            <w:tcW w:w="827" w:type="dxa"/>
            <w:tcBorders/>
            <w:shd w:fill="CCEEFF" w:val="clear"/>
            <w:vAlign w:val="center"/>
          </w:tcPr>
          <w:p>
            <w:pPr>
              <w:pStyle w:val="TableContents"/>
              <w:bidi w:val="0"/>
              <w:spacing w:before="0" w:after="0"/>
              <w:ind w:left="0" w:right="0" w:hanging="0"/>
              <w:jc w:val="center"/>
              <w:rPr/>
            </w:pPr>
            <w:r>
              <w:rPr/>
              <w:t> </w:t>
            </w:r>
          </w:p>
        </w:tc>
        <w:tc>
          <w:tcPr>
            <w:tcW w:w="92" w:type="dxa"/>
            <w:gridSpan w:val="2"/>
            <w:tcBorders/>
            <w:shd w:fill="CCEEFF" w:val="clear"/>
            <w:vAlign w:val="center"/>
          </w:tcPr>
          <w:p>
            <w:pPr>
              <w:pStyle w:val="TableContents"/>
              <w:bidi w:val="0"/>
              <w:spacing w:before="0" w:after="0"/>
              <w:ind w:left="0" w:right="0" w:hanging="0"/>
              <w:jc w:val="center"/>
              <w:rPr/>
            </w:pPr>
            <w:r>
              <w:rPr/>
              <w:t> </w:t>
            </w:r>
          </w:p>
        </w:tc>
        <w:tc>
          <w:tcPr>
            <w:tcW w:w="886" w:type="dxa"/>
            <w:gridSpan w:val="2"/>
            <w:tcBorders/>
            <w:shd w:fill="CCEEFF" w:val="clear"/>
            <w:vAlign w:val="center"/>
          </w:tcPr>
          <w:p>
            <w:pPr>
              <w:pStyle w:val="TableContents"/>
              <w:bidi w:val="0"/>
              <w:spacing w:before="0" w:after="0"/>
              <w:ind w:left="0" w:right="0" w:hanging="0"/>
              <w:jc w:val="center"/>
              <w:rPr/>
            </w:pPr>
            <w:r>
              <w:rPr/>
              <w:t> </w:t>
            </w:r>
          </w:p>
        </w:tc>
      </w:tr>
      <w:tr>
        <w:trPr/>
        <w:tc>
          <w:tcPr>
            <w:tcW w:w="704" w:type="dxa"/>
            <w:tcBorders/>
            <w:shd w:fill="FFFFFF" w:val="clear"/>
            <w:vAlign w:val="center"/>
          </w:tcPr>
          <w:p>
            <w:pPr>
              <w:pStyle w:val="TableContents"/>
              <w:bidi w:val="0"/>
              <w:spacing w:before="0" w:after="0"/>
              <w:ind w:left="0" w:right="0" w:hanging="0"/>
              <w:jc w:val="left"/>
              <w:rPr/>
            </w:pPr>
            <w:hyperlink w:anchor="ped_ex233.htm">
              <w:r>
                <w:rPr>
                  <w:rStyle w:val="InternetLink"/>
                  <w:rFonts w:ascii="times new roman" w:hAnsi="times new roman"/>
                  <w:sz w:val="20"/>
                </w:rPr>
                <w:t>23.3*</w:t>
              </w:r>
            </w:hyperlink>
          </w:p>
        </w:tc>
        <w:tc>
          <w:tcPr>
            <w:tcW w:w="90" w:type="dxa"/>
            <w:gridSpan w:val="2"/>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283"/>
              <w:jc w:val="left"/>
              <w:rPr>
                <w:sz w:val="4"/>
                <w:szCs w:val="4"/>
              </w:rPr>
            </w:pPr>
            <w:r>
              <w:rPr>
                <w:sz w:val="4"/>
                <w:szCs w:val="4"/>
              </w:rPr>
            </w:r>
          </w:p>
        </w:tc>
        <w:tc>
          <w:tcPr>
            <w:tcW w:w="4798" w:type="dxa"/>
            <w:tcBorders/>
            <w:shd w:fill="FFFFFF" w:val="clear"/>
            <w:vAlign w:val="center"/>
          </w:tcPr>
          <w:p>
            <w:pPr>
              <w:pStyle w:val="TableContents"/>
              <w:bidi w:val="0"/>
              <w:spacing w:before="0" w:after="0"/>
              <w:ind w:left="0" w:right="0" w:hanging="0"/>
              <w:jc w:val="left"/>
              <w:rPr/>
            </w:pPr>
            <w:hyperlink w:anchor="ped_ex233.htm">
              <w:r>
                <w:rPr>
                  <w:rStyle w:val="InternetLink"/>
                  <w:rFonts w:ascii="times new roman" w:hAnsi="times new roman"/>
                  <w:sz w:val="20"/>
                </w:rPr>
                <w:t>Consent of Cawley, Gillespie &amp; Associates, Inc.*</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128"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X</w:t>
            </w:r>
          </w:p>
        </w:tc>
        <w:tc>
          <w:tcPr>
            <w:tcW w:w="136" w:type="dxa"/>
            <w:gridSpan w:val="2"/>
            <w:tcBorders/>
            <w:shd w:fill="FFFFFF" w:val="clear"/>
            <w:vAlign w:val="center"/>
          </w:tcPr>
          <w:p>
            <w:pPr>
              <w:pStyle w:val="TableContents"/>
              <w:bidi w:val="0"/>
              <w:spacing w:before="0" w:after="0"/>
              <w:ind w:left="0" w:right="0" w:hanging="0"/>
              <w:jc w:val="center"/>
              <w:rPr/>
            </w:pPr>
            <w:r>
              <w:rPr/>
              <w:t> </w:t>
            </w:r>
          </w:p>
        </w:tc>
        <w:tc>
          <w:tcPr>
            <w:tcW w:w="436" w:type="dxa"/>
            <w:tcBorders/>
            <w:shd w:fill="FFFFFF" w:val="clear"/>
            <w:vAlign w:val="center"/>
          </w:tcPr>
          <w:p>
            <w:pPr>
              <w:pStyle w:val="TableContents"/>
              <w:bidi w:val="0"/>
              <w:spacing w:before="0" w:after="0"/>
              <w:ind w:left="0" w:right="0" w:hanging="0"/>
              <w:jc w:val="center"/>
              <w:rPr/>
            </w:pPr>
            <w:r>
              <w:rPr/>
              <w:t> </w:t>
            </w:r>
          </w:p>
        </w:tc>
        <w:tc>
          <w:tcPr>
            <w:tcW w:w="93" w:type="dxa"/>
            <w:gridSpan w:val="2"/>
            <w:tcBorders/>
            <w:shd w:fill="FFFFFF" w:val="clear"/>
            <w:vAlign w:val="center"/>
          </w:tcPr>
          <w:p>
            <w:pPr>
              <w:pStyle w:val="TableContents"/>
              <w:bidi w:val="0"/>
              <w:spacing w:before="0" w:after="0"/>
              <w:ind w:left="0" w:right="0" w:hanging="0"/>
              <w:jc w:val="center"/>
              <w:rPr/>
            </w:pPr>
            <w:r>
              <w:rPr/>
              <w:t> </w:t>
            </w:r>
          </w:p>
        </w:tc>
        <w:tc>
          <w:tcPr>
            <w:tcW w:w="770" w:type="dxa"/>
            <w:gridSpan w:val="3"/>
            <w:tcBorders/>
            <w:shd w:fill="FFFFFF" w:val="clear"/>
            <w:vAlign w:val="center"/>
          </w:tcPr>
          <w:p>
            <w:pPr>
              <w:pStyle w:val="TableContents"/>
              <w:bidi w:val="0"/>
              <w:spacing w:before="0" w:after="0"/>
              <w:ind w:left="0" w:right="0" w:hanging="0"/>
              <w:jc w:val="center"/>
              <w:rPr/>
            </w:pPr>
            <w:r>
              <w:rPr/>
              <w:t> </w:t>
            </w:r>
          </w:p>
        </w:tc>
        <w:tc>
          <w:tcPr>
            <w:tcW w:w="92" w:type="dxa"/>
            <w:gridSpan w:val="2"/>
            <w:tcBorders/>
            <w:shd w:fill="FFFFFF" w:val="clear"/>
            <w:vAlign w:val="center"/>
          </w:tcPr>
          <w:p>
            <w:pPr>
              <w:pStyle w:val="TableContents"/>
              <w:bidi w:val="0"/>
              <w:spacing w:before="0" w:after="0"/>
              <w:ind w:left="0" w:right="0" w:hanging="0"/>
              <w:jc w:val="center"/>
              <w:rPr/>
            </w:pPr>
            <w:r>
              <w:rPr/>
              <w:t> </w:t>
            </w:r>
          </w:p>
        </w:tc>
        <w:tc>
          <w:tcPr>
            <w:tcW w:w="827" w:type="dxa"/>
            <w:tcBorders/>
            <w:shd w:fill="FFFFFF" w:val="clear"/>
            <w:vAlign w:val="center"/>
          </w:tcPr>
          <w:p>
            <w:pPr>
              <w:pStyle w:val="TableContents"/>
              <w:bidi w:val="0"/>
              <w:spacing w:before="0" w:after="0"/>
              <w:ind w:left="0" w:right="0" w:hanging="0"/>
              <w:jc w:val="center"/>
              <w:rPr/>
            </w:pPr>
            <w:r>
              <w:rPr/>
              <w:t> </w:t>
            </w:r>
          </w:p>
        </w:tc>
        <w:tc>
          <w:tcPr>
            <w:tcW w:w="92" w:type="dxa"/>
            <w:gridSpan w:val="2"/>
            <w:tcBorders/>
            <w:shd w:fill="FFFFFF" w:val="clear"/>
            <w:vAlign w:val="center"/>
          </w:tcPr>
          <w:p>
            <w:pPr>
              <w:pStyle w:val="TableContents"/>
              <w:bidi w:val="0"/>
              <w:spacing w:before="0" w:after="0"/>
              <w:ind w:left="0" w:right="0" w:hanging="0"/>
              <w:jc w:val="center"/>
              <w:rPr/>
            </w:pPr>
            <w:r>
              <w:rPr/>
              <w:t> </w:t>
            </w:r>
          </w:p>
        </w:tc>
        <w:tc>
          <w:tcPr>
            <w:tcW w:w="886" w:type="dxa"/>
            <w:gridSpan w:val="2"/>
            <w:tcBorders/>
            <w:shd w:fill="FFFFFF" w:val="clear"/>
            <w:vAlign w:val="center"/>
          </w:tcPr>
          <w:p>
            <w:pPr>
              <w:pStyle w:val="TableContents"/>
              <w:bidi w:val="0"/>
              <w:spacing w:before="0" w:after="0"/>
              <w:ind w:left="0" w:right="0" w:hanging="0"/>
              <w:jc w:val="center"/>
              <w:rPr/>
            </w:pPr>
            <w:r>
              <w:rPr/>
              <w:t> </w:t>
            </w:r>
          </w:p>
        </w:tc>
      </w:tr>
      <w:tr>
        <w:trPr/>
        <w:tc>
          <w:tcPr>
            <w:tcW w:w="704" w:type="dxa"/>
            <w:tcBorders/>
            <w:shd w:fill="CCEEFF" w:val="clear"/>
            <w:vAlign w:val="center"/>
          </w:tcPr>
          <w:p>
            <w:pPr>
              <w:pStyle w:val="TableContents"/>
              <w:bidi w:val="0"/>
              <w:spacing w:before="0" w:after="0"/>
              <w:ind w:left="0" w:right="0" w:hanging="0"/>
              <w:jc w:val="left"/>
              <w:rPr/>
            </w:pPr>
            <w:hyperlink w:anchor="ped_ex51.htm">
              <w:r>
                <w:rPr>
                  <w:rStyle w:val="InternetLink"/>
                  <w:rFonts w:ascii="times new roman" w:hAnsi="times new roman"/>
                  <w:sz w:val="20"/>
                </w:rPr>
                <w:t>23.4*</w:t>
              </w:r>
            </w:hyperlink>
          </w:p>
        </w:tc>
        <w:tc>
          <w:tcPr>
            <w:tcW w:w="90" w:type="dxa"/>
            <w:gridSpan w:val="2"/>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4798" w:type="dxa"/>
            <w:tcBorders/>
            <w:shd w:fill="CCEEFF" w:val="clear"/>
            <w:vAlign w:val="center"/>
          </w:tcPr>
          <w:p>
            <w:pPr>
              <w:pStyle w:val="TableContents"/>
              <w:bidi w:val="0"/>
              <w:spacing w:before="0" w:after="0"/>
              <w:ind w:left="0" w:right="0" w:hanging="0"/>
              <w:jc w:val="left"/>
              <w:rPr/>
            </w:pPr>
            <w:hyperlink w:anchor="ped_ex51.htm">
              <w:r>
                <w:rPr>
                  <w:rStyle w:val="InternetLink"/>
                  <w:rFonts w:ascii="times new roman" w:hAnsi="times new roman"/>
                  <w:sz w:val="20"/>
                </w:rPr>
                <w:t>Consent of The Loev Law Firm, PC (included in Exhibit 5.1).</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X</w:t>
            </w:r>
          </w:p>
        </w:tc>
        <w:tc>
          <w:tcPr>
            <w:tcW w:w="136" w:type="dxa"/>
            <w:gridSpan w:val="2"/>
            <w:tcBorders/>
            <w:shd w:fill="CCEEFF" w:val="clear"/>
            <w:vAlign w:val="center"/>
          </w:tcPr>
          <w:p>
            <w:pPr>
              <w:pStyle w:val="TableContents"/>
              <w:bidi w:val="0"/>
              <w:spacing w:before="0" w:after="0"/>
              <w:ind w:left="0" w:right="0" w:hanging="0"/>
              <w:jc w:val="center"/>
              <w:rPr/>
            </w:pPr>
            <w:r>
              <w:rPr/>
              <w:t> </w:t>
            </w:r>
          </w:p>
        </w:tc>
        <w:tc>
          <w:tcPr>
            <w:tcW w:w="436" w:type="dxa"/>
            <w:tcBorders/>
            <w:shd w:fill="CCEEFF" w:val="clear"/>
            <w:vAlign w:val="center"/>
          </w:tcPr>
          <w:p>
            <w:pPr>
              <w:pStyle w:val="TableContents"/>
              <w:bidi w:val="0"/>
              <w:spacing w:before="0" w:after="0"/>
              <w:ind w:left="0" w:right="0" w:hanging="0"/>
              <w:jc w:val="center"/>
              <w:rPr/>
            </w:pPr>
            <w:r>
              <w:rPr/>
              <w:t> </w:t>
            </w:r>
          </w:p>
        </w:tc>
        <w:tc>
          <w:tcPr>
            <w:tcW w:w="93" w:type="dxa"/>
            <w:gridSpan w:val="2"/>
            <w:tcBorders/>
            <w:shd w:fill="CCEEFF" w:val="clear"/>
            <w:vAlign w:val="center"/>
          </w:tcPr>
          <w:p>
            <w:pPr>
              <w:pStyle w:val="TableContents"/>
              <w:bidi w:val="0"/>
              <w:spacing w:before="0" w:after="0"/>
              <w:ind w:left="0" w:right="0" w:hanging="0"/>
              <w:jc w:val="center"/>
              <w:rPr/>
            </w:pPr>
            <w:r>
              <w:rPr/>
              <w:t> </w:t>
            </w:r>
          </w:p>
        </w:tc>
        <w:tc>
          <w:tcPr>
            <w:tcW w:w="770" w:type="dxa"/>
            <w:gridSpan w:val="3"/>
            <w:tcBorders/>
            <w:shd w:fill="CCEEFF" w:val="clear"/>
            <w:vAlign w:val="center"/>
          </w:tcPr>
          <w:p>
            <w:pPr>
              <w:pStyle w:val="TableContents"/>
              <w:bidi w:val="0"/>
              <w:spacing w:before="0" w:after="0"/>
              <w:ind w:left="0" w:right="0" w:hanging="0"/>
              <w:jc w:val="center"/>
              <w:rPr/>
            </w:pPr>
            <w:r>
              <w:rPr/>
              <w:t> </w:t>
            </w:r>
          </w:p>
        </w:tc>
        <w:tc>
          <w:tcPr>
            <w:tcW w:w="92" w:type="dxa"/>
            <w:gridSpan w:val="2"/>
            <w:tcBorders/>
            <w:shd w:fill="CCEEFF" w:val="clear"/>
            <w:vAlign w:val="center"/>
          </w:tcPr>
          <w:p>
            <w:pPr>
              <w:pStyle w:val="TableContents"/>
              <w:bidi w:val="0"/>
              <w:spacing w:before="0" w:after="0"/>
              <w:ind w:left="0" w:right="0" w:hanging="0"/>
              <w:jc w:val="center"/>
              <w:rPr/>
            </w:pPr>
            <w:r>
              <w:rPr/>
              <w:t> </w:t>
            </w:r>
          </w:p>
        </w:tc>
        <w:tc>
          <w:tcPr>
            <w:tcW w:w="827" w:type="dxa"/>
            <w:tcBorders/>
            <w:shd w:fill="CCEEFF" w:val="clear"/>
            <w:vAlign w:val="center"/>
          </w:tcPr>
          <w:p>
            <w:pPr>
              <w:pStyle w:val="TableContents"/>
              <w:bidi w:val="0"/>
              <w:spacing w:before="0" w:after="0"/>
              <w:ind w:left="0" w:right="0" w:hanging="0"/>
              <w:jc w:val="center"/>
              <w:rPr/>
            </w:pPr>
            <w:r>
              <w:rPr/>
              <w:t> </w:t>
            </w:r>
          </w:p>
        </w:tc>
        <w:tc>
          <w:tcPr>
            <w:tcW w:w="92" w:type="dxa"/>
            <w:gridSpan w:val="2"/>
            <w:tcBorders/>
            <w:shd w:fill="CCEEFF" w:val="clear"/>
            <w:vAlign w:val="center"/>
          </w:tcPr>
          <w:p>
            <w:pPr>
              <w:pStyle w:val="TableContents"/>
              <w:bidi w:val="0"/>
              <w:spacing w:before="0" w:after="0"/>
              <w:ind w:left="0" w:right="0" w:hanging="0"/>
              <w:jc w:val="center"/>
              <w:rPr/>
            </w:pPr>
            <w:r>
              <w:rPr/>
              <w:t> </w:t>
            </w:r>
          </w:p>
        </w:tc>
        <w:tc>
          <w:tcPr>
            <w:tcW w:w="886" w:type="dxa"/>
            <w:gridSpan w:val="2"/>
            <w:tcBorders/>
            <w:shd w:fill="CCEEFF" w:val="clear"/>
            <w:vAlign w:val="center"/>
          </w:tcPr>
          <w:p>
            <w:pPr>
              <w:pStyle w:val="TableContents"/>
              <w:bidi w:val="0"/>
              <w:spacing w:before="0" w:after="0"/>
              <w:ind w:left="0" w:right="0" w:hanging="0"/>
              <w:jc w:val="center"/>
              <w:rPr/>
            </w:pPr>
            <w:r>
              <w:rPr/>
              <w:t> </w:t>
            </w:r>
          </w:p>
        </w:tc>
      </w:tr>
      <w:tr>
        <w:trPr/>
        <w:tc>
          <w:tcPr>
            <w:tcW w:w="704" w:type="dxa"/>
            <w:tcBorders/>
            <w:shd w:fill="FFFFFF" w:val="clear"/>
            <w:vAlign w:val="center"/>
          </w:tcPr>
          <w:p>
            <w:pPr>
              <w:pStyle w:val="TableContents"/>
              <w:bidi w:val="0"/>
              <w:spacing w:before="0" w:after="0"/>
              <w:ind w:left="0" w:right="0" w:hanging="0"/>
              <w:jc w:val="left"/>
              <w:rPr/>
            </w:pPr>
            <w:r>
              <w:rPr/>
              <w:t> </w:t>
            </w:r>
          </w:p>
        </w:tc>
        <w:tc>
          <w:tcPr>
            <w:tcW w:w="90" w:type="dxa"/>
            <w:gridSpan w:val="2"/>
            <w:tcBorders/>
            <w:shd w:fill="FFFFFF" w:val="clear"/>
            <w:vAlign w:val="center"/>
          </w:tcPr>
          <w:p>
            <w:pPr>
              <w:pStyle w:val="TableContents"/>
              <w:bidi w:val="0"/>
              <w:spacing w:before="0" w:after="0"/>
              <w:ind w:left="0" w:right="0" w:hanging="0"/>
              <w:jc w:val="left"/>
              <w:rPr/>
            </w:pPr>
            <w:r>
              <w:rPr/>
              <w:t> </w:t>
            </w:r>
          </w:p>
        </w:tc>
        <w:tc>
          <w:tcPr>
            <w:tcW w:w="4861" w:type="dxa"/>
            <w:gridSpan w:val="2"/>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28"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X</w:t>
            </w:r>
          </w:p>
        </w:tc>
        <w:tc>
          <w:tcPr>
            <w:tcW w:w="136" w:type="dxa"/>
            <w:gridSpan w:val="2"/>
            <w:tcBorders/>
            <w:shd w:fill="FFFFFF" w:val="clear"/>
            <w:vAlign w:val="center"/>
          </w:tcPr>
          <w:p>
            <w:pPr>
              <w:pStyle w:val="TableContents"/>
              <w:bidi w:val="0"/>
              <w:spacing w:before="0" w:after="0"/>
              <w:ind w:left="0" w:right="0" w:hanging="0"/>
              <w:jc w:val="center"/>
              <w:rPr/>
            </w:pPr>
            <w:r>
              <w:rPr/>
              <w:t> </w:t>
            </w:r>
          </w:p>
        </w:tc>
        <w:tc>
          <w:tcPr>
            <w:tcW w:w="436" w:type="dxa"/>
            <w:tcBorders/>
            <w:shd w:fill="FFFFFF" w:val="clear"/>
            <w:vAlign w:val="center"/>
          </w:tcPr>
          <w:p>
            <w:pPr>
              <w:pStyle w:val="TableContents"/>
              <w:bidi w:val="0"/>
              <w:spacing w:before="0" w:after="0"/>
              <w:ind w:left="0" w:right="0" w:hanging="0"/>
              <w:jc w:val="center"/>
              <w:rPr/>
            </w:pPr>
            <w:r>
              <w:rPr/>
              <w:t> </w:t>
            </w:r>
          </w:p>
        </w:tc>
        <w:tc>
          <w:tcPr>
            <w:tcW w:w="93" w:type="dxa"/>
            <w:gridSpan w:val="2"/>
            <w:tcBorders/>
            <w:shd w:fill="FFFFFF" w:val="clear"/>
            <w:vAlign w:val="center"/>
          </w:tcPr>
          <w:p>
            <w:pPr>
              <w:pStyle w:val="TableContents"/>
              <w:bidi w:val="0"/>
              <w:spacing w:before="0" w:after="0"/>
              <w:ind w:left="0" w:right="0" w:hanging="0"/>
              <w:jc w:val="center"/>
              <w:rPr/>
            </w:pPr>
            <w:r>
              <w:rPr/>
              <w:t> </w:t>
            </w:r>
          </w:p>
        </w:tc>
        <w:tc>
          <w:tcPr>
            <w:tcW w:w="770" w:type="dxa"/>
            <w:gridSpan w:val="3"/>
            <w:tcBorders/>
            <w:shd w:fill="FFFFFF" w:val="clear"/>
            <w:vAlign w:val="center"/>
          </w:tcPr>
          <w:p>
            <w:pPr>
              <w:pStyle w:val="TableContents"/>
              <w:bidi w:val="0"/>
              <w:spacing w:before="0" w:after="0"/>
              <w:ind w:left="0" w:right="0" w:hanging="0"/>
              <w:jc w:val="center"/>
              <w:rPr/>
            </w:pPr>
            <w:r>
              <w:rPr/>
              <w:t> </w:t>
            </w:r>
          </w:p>
        </w:tc>
        <w:tc>
          <w:tcPr>
            <w:tcW w:w="92" w:type="dxa"/>
            <w:gridSpan w:val="2"/>
            <w:tcBorders/>
            <w:shd w:fill="FFFFFF" w:val="clear"/>
            <w:vAlign w:val="center"/>
          </w:tcPr>
          <w:p>
            <w:pPr>
              <w:pStyle w:val="TableContents"/>
              <w:bidi w:val="0"/>
              <w:spacing w:before="0" w:after="0"/>
              <w:ind w:left="0" w:right="0" w:hanging="0"/>
              <w:jc w:val="center"/>
              <w:rPr/>
            </w:pPr>
            <w:r>
              <w:rPr/>
              <w:t> </w:t>
            </w:r>
          </w:p>
        </w:tc>
        <w:tc>
          <w:tcPr>
            <w:tcW w:w="827" w:type="dxa"/>
            <w:tcBorders/>
            <w:shd w:fill="FFFFFF" w:val="clear"/>
            <w:vAlign w:val="center"/>
          </w:tcPr>
          <w:p>
            <w:pPr>
              <w:pStyle w:val="TableContents"/>
              <w:bidi w:val="0"/>
              <w:spacing w:before="0" w:after="0"/>
              <w:ind w:left="0" w:right="0" w:hanging="0"/>
              <w:jc w:val="center"/>
              <w:rPr/>
            </w:pPr>
            <w:r>
              <w:rPr/>
              <w:t> </w:t>
            </w:r>
          </w:p>
        </w:tc>
        <w:tc>
          <w:tcPr>
            <w:tcW w:w="92" w:type="dxa"/>
            <w:gridSpan w:val="2"/>
            <w:tcBorders/>
            <w:shd w:fill="FFFFFF" w:val="clear"/>
            <w:vAlign w:val="center"/>
          </w:tcPr>
          <w:p>
            <w:pPr>
              <w:pStyle w:val="TableContents"/>
              <w:bidi w:val="0"/>
              <w:spacing w:before="0" w:after="0"/>
              <w:ind w:left="0" w:right="0" w:hanging="0"/>
              <w:jc w:val="center"/>
              <w:rPr/>
            </w:pPr>
            <w:r>
              <w:rPr/>
              <w:t> </w:t>
            </w:r>
          </w:p>
        </w:tc>
        <w:tc>
          <w:tcPr>
            <w:tcW w:w="886" w:type="dxa"/>
            <w:gridSpan w:val="2"/>
            <w:tcBorders/>
            <w:shd w:fill="FFFFFF" w:val="clear"/>
            <w:vAlign w:val="center"/>
          </w:tcPr>
          <w:p>
            <w:pPr>
              <w:pStyle w:val="TableContents"/>
              <w:bidi w:val="0"/>
              <w:spacing w:before="0" w:after="0"/>
              <w:ind w:left="0" w:right="0" w:hanging="0"/>
              <w:jc w:val="center"/>
              <w:rPr/>
            </w:pPr>
            <w:r>
              <w:rPr/>
              <w:t> </w:t>
            </w:r>
          </w:p>
        </w:tc>
      </w:tr>
      <w:tr>
        <w:trPr/>
        <w:tc>
          <w:tcPr>
            <w:tcW w:w="704" w:type="dxa"/>
            <w:tcBorders/>
            <w:shd w:fill="CCEEFF" w:val="clear"/>
            <w:vAlign w:val="center"/>
          </w:tcPr>
          <w:p>
            <w:pPr>
              <w:pStyle w:val="TableContents"/>
              <w:bidi w:val="0"/>
              <w:spacing w:before="0" w:after="0"/>
              <w:ind w:left="0" w:right="0" w:hanging="0"/>
              <w:jc w:val="left"/>
              <w:rPr/>
            </w:pPr>
            <w:hyperlink w:anchor="porwe">
              <w:r>
                <w:rPr>
                  <w:rStyle w:val="InternetLink"/>
                  <w:rFonts w:ascii="times new roman" w:hAnsi="times new roman"/>
                  <w:sz w:val="20"/>
                </w:rPr>
                <w:t>24.1*</w:t>
              </w:r>
            </w:hyperlink>
          </w:p>
        </w:tc>
        <w:tc>
          <w:tcPr>
            <w:tcW w:w="90" w:type="dxa"/>
            <w:gridSpan w:val="2"/>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4798" w:type="dxa"/>
            <w:tcBorders/>
            <w:shd w:fill="CCEEFF" w:val="clear"/>
            <w:vAlign w:val="center"/>
          </w:tcPr>
          <w:p>
            <w:pPr>
              <w:pStyle w:val="TableContents"/>
              <w:bidi w:val="0"/>
              <w:spacing w:before="0" w:after="0"/>
              <w:ind w:left="0" w:right="0" w:hanging="0"/>
              <w:jc w:val="left"/>
              <w:rPr/>
            </w:pPr>
            <w:hyperlink w:anchor="porwe">
              <w:r>
                <w:rPr>
                  <w:rStyle w:val="InternetLink"/>
                  <w:rFonts w:ascii="times new roman" w:hAnsi="times new roman"/>
                  <w:sz w:val="20"/>
                </w:rPr>
                <w:t>Power of Attorney (included on signature page of this Registration Statement).</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128"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X</w:t>
            </w:r>
          </w:p>
        </w:tc>
        <w:tc>
          <w:tcPr>
            <w:tcW w:w="136" w:type="dxa"/>
            <w:gridSpan w:val="2"/>
            <w:tcBorders/>
            <w:shd w:fill="CCEEFF" w:val="clear"/>
            <w:vAlign w:val="center"/>
          </w:tcPr>
          <w:p>
            <w:pPr>
              <w:pStyle w:val="TableContents"/>
              <w:bidi w:val="0"/>
              <w:spacing w:before="0" w:after="0"/>
              <w:ind w:left="0" w:right="0" w:hanging="0"/>
              <w:jc w:val="center"/>
              <w:rPr/>
            </w:pPr>
            <w:r>
              <w:rPr/>
              <w:t> </w:t>
            </w:r>
          </w:p>
        </w:tc>
        <w:tc>
          <w:tcPr>
            <w:tcW w:w="436" w:type="dxa"/>
            <w:tcBorders/>
            <w:shd w:fill="CCEEFF" w:val="clear"/>
            <w:vAlign w:val="center"/>
          </w:tcPr>
          <w:p>
            <w:pPr>
              <w:pStyle w:val="TableContents"/>
              <w:bidi w:val="0"/>
              <w:spacing w:before="0" w:after="0"/>
              <w:ind w:left="0" w:right="0" w:hanging="0"/>
              <w:jc w:val="center"/>
              <w:rPr/>
            </w:pPr>
            <w:r>
              <w:rPr/>
              <w:t> </w:t>
            </w:r>
          </w:p>
        </w:tc>
        <w:tc>
          <w:tcPr>
            <w:tcW w:w="93" w:type="dxa"/>
            <w:gridSpan w:val="2"/>
            <w:tcBorders/>
            <w:shd w:fill="CCEEFF" w:val="clear"/>
            <w:vAlign w:val="center"/>
          </w:tcPr>
          <w:p>
            <w:pPr>
              <w:pStyle w:val="TableContents"/>
              <w:bidi w:val="0"/>
              <w:spacing w:before="0" w:after="0"/>
              <w:ind w:left="0" w:right="0" w:hanging="0"/>
              <w:jc w:val="center"/>
              <w:rPr/>
            </w:pPr>
            <w:r>
              <w:rPr/>
              <w:t> </w:t>
            </w:r>
          </w:p>
        </w:tc>
        <w:tc>
          <w:tcPr>
            <w:tcW w:w="770" w:type="dxa"/>
            <w:gridSpan w:val="3"/>
            <w:tcBorders/>
            <w:shd w:fill="CCEEFF" w:val="clear"/>
            <w:vAlign w:val="center"/>
          </w:tcPr>
          <w:p>
            <w:pPr>
              <w:pStyle w:val="TableContents"/>
              <w:bidi w:val="0"/>
              <w:spacing w:before="0" w:after="0"/>
              <w:ind w:left="0" w:right="0" w:hanging="0"/>
              <w:jc w:val="center"/>
              <w:rPr/>
            </w:pPr>
            <w:r>
              <w:rPr/>
              <w:t> </w:t>
            </w:r>
          </w:p>
        </w:tc>
        <w:tc>
          <w:tcPr>
            <w:tcW w:w="92" w:type="dxa"/>
            <w:gridSpan w:val="2"/>
            <w:tcBorders/>
            <w:shd w:fill="CCEEFF" w:val="clear"/>
            <w:vAlign w:val="center"/>
          </w:tcPr>
          <w:p>
            <w:pPr>
              <w:pStyle w:val="TableContents"/>
              <w:bidi w:val="0"/>
              <w:spacing w:before="0" w:after="0"/>
              <w:ind w:left="0" w:right="0" w:hanging="0"/>
              <w:jc w:val="center"/>
              <w:rPr/>
            </w:pPr>
            <w:r>
              <w:rPr/>
              <w:t> </w:t>
            </w:r>
          </w:p>
        </w:tc>
        <w:tc>
          <w:tcPr>
            <w:tcW w:w="827" w:type="dxa"/>
            <w:tcBorders/>
            <w:shd w:fill="CCEEFF" w:val="clear"/>
            <w:vAlign w:val="center"/>
          </w:tcPr>
          <w:p>
            <w:pPr>
              <w:pStyle w:val="TableContents"/>
              <w:bidi w:val="0"/>
              <w:spacing w:before="0" w:after="0"/>
              <w:ind w:left="0" w:right="0" w:hanging="0"/>
              <w:jc w:val="center"/>
              <w:rPr/>
            </w:pPr>
            <w:r>
              <w:rPr/>
              <w:t> </w:t>
            </w:r>
          </w:p>
        </w:tc>
        <w:tc>
          <w:tcPr>
            <w:tcW w:w="92" w:type="dxa"/>
            <w:gridSpan w:val="2"/>
            <w:tcBorders/>
            <w:shd w:fill="CCEEFF" w:val="clear"/>
            <w:vAlign w:val="center"/>
          </w:tcPr>
          <w:p>
            <w:pPr>
              <w:pStyle w:val="TableContents"/>
              <w:bidi w:val="0"/>
              <w:spacing w:before="0" w:after="0"/>
              <w:ind w:left="0" w:right="0" w:hanging="0"/>
              <w:jc w:val="center"/>
              <w:rPr/>
            </w:pPr>
            <w:r>
              <w:rPr/>
              <w:t> </w:t>
            </w:r>
          </w:p>
        </w:tc>
        <w:tc>
          <w:tcPr>
            <w:tcW w:w="886" w:type="dxa"/>
            <w:gridSpan w:val="2"/>
            <w:tcBorders/>
            <w:shd w:fill="CCEEFF" w:val="clear"/>
            <w:vAlign w:val="center"/>
          </w:tcPr>
          <w:p>
            <w:pPr>
              <w:pStyle w:val="TableContents"/>
              <w:bidi w:val="0"/>
              <w:spacing w:before="0" w:after="0"/>
              <w:ind w:left="0" w:right="0" w:hanging="0"/>
              <w:jc w:val="center"/>
              <w:rPr/>
            </w:pPr>
            <w:r>
              <w:rPr/>
              <w:t> </w:t>
            </w:r>
          </w:p>
        </w:tc>
      </w:tr>
      <w:tr>
        <w:trPr/>
        <w:tc>
          <w:tcPr>
            <w:tcW w:w="704" w:type="dxa"/>
            <w:tcBorders/>
            <w:shd w:fill="FFFFFF" w:val="clear"/>
            <w:vAlign w:val="center"/>
          </w:tcPr>
          <w:p>
            <w:pPr>
              <w:pStyle w:val="TableContents"/>
              <w:bidi w:val="0"/>
              <w:spacing w:before="0" w:after="0"/>
              <w:ind w:left="0" w:right="0" w:hanging="0"/>
              <w:jc w:val="left"/>
              <w:rPr/>
            </w:pPr>
            <w:hyperlink w:anchor="ped_ex107.htm">
              <w:r>
                <w:rPr>
                  <w:rStyle w:val="InternetLink"/>
                  <w:rFonts w:ascii="times new roman" w:hAnsi="times new roman"/>
                  <w:sz w:val="20"/>
                </w:rPr>
                <w:t>107*</w:t>
              </w:r>
            </w:hyperlink>
          </w:p>
        </w:tc>
        <w:tc>
          <w:tcPr>
            <w:tcW w:w="90" w:type="dxa"/>
            <w:gridSpan w:val="2"/>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283"/>
              <w:jc w:val="left"/>
              <w:rPr>
                <w:sz w:val="4"/>
                <w:szCs w:val="4"/>
              </w:rPr>
            </w:pPr>
            <w:r>
              <w:rPr>
                <w:sz w:val="4"/>
                <w:szCs w:val="4"/>
              </w:rPr>
            </w:r>
          </w:p>
        </w:tc>
        <w:tc>
          <w:tcPr>
            <w:tcW w:w="4798" w:type="dxa"/>
            <w:tcBorders/>
            <w:shd w:fill="FFFFFF" w:val="clear"/>
            <w:vAlign w:val="center"/>
          </w:tcPr>
          <w:p>
            <w:pPr>
              <w:pStyle w:val="TableContents"/>
              <w:bidi w:val="0"/>
              <w:spacing w:before="0" w:after="0"/>
              <w:ind w:left="0" w:right="0" w:hanging="0"/>
              <w:jc w:val="left"/>
              <w:rPr/>
            </w:pPr>
            <w:hyperlink w:anchor="ped_ex107.htm">
              <w:r>
                <w:rPr>
                  <w:rStyle w:val="InternetLink"/>
                  <w:rFonts w:ascii="times new roman" w:hAnsi="times new roman"/>
                  <w:sz w:val="20"/>
                </w:rPr>
                <w:t>Filing Fee Table</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128"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X</w:t>
            </w:r>
          </w:p>
        </w:tc>
        <w:tc>
          <w:tcPr>
            <w:tcW w:w="136" w:type="dxa"/>
            <w:gridSpan w:val="2"/>
            <w:tcBorders/>
            <w:shd w:fill="FFFFFF" w:val="clear"/>
            <w:vAlign w:val="center"/>
          </w:tcPr>
          <w:p>
            <w:pPr>
              <w:pStyle w:val="TableContents"/>
              <w:bidi w:val="0"/>
              <w:spacing w:before="0" w:after="0"/>
              <w:ind w:left="0" w:right="0" w:hanging="0"/>
              <w:jc w:val="center"/>
              <w:rPr/>
            </w:pPr>
            <w:r>
              <w:rPr/>
              <w:t> </w:t>
            </w:r>
          </w:p>
        </w:tc>
        <w:tc>
          <w:tcPr>
            <w:tcW w:w="436" w:type="dxa"/>
            <w:tcBorders/>
            <w:shd w:fill="FFFFFF" w:val="clear"/>
            <w:vAlign w:val="center"/>
          </w:tcPr>
          <w:p>
            <w:pPr>
              <w:pStyle w:val="TableContents"/>
              <w:bidi w:val="0"/>
              <w:spacing w:before="0" w:after="0"/>
              <w:ind w:left="0" w:right="0" w:hanging="0"/>
              <w:jc w:val="center"/>
              <w:rPr/>
            </w:pPr>
            <w:r>
              <w:rPr/>
              <w:t> </w:t>
            </w:r>
          </w:p>
        </w:tc>
        <w:tc>
          <w:tcPr>
            <w:tcW w:w="93" w:type="dxa"/>
            <w:gridSpan w:val="2"/>
            <w:tcBorders/>
            <w:shd w:fill="FFFFFF" w:val="clear"/>
            <w:vAlign w:val="center"/>
          </w:tcPr>
          <w:p>
            <w:pPr>
              <w:pStyle w:val="TableContents"/>
              <w:bidi w:val="0"/>
              <w:spacing w:before="0" w:after="0"/>
              <w:ind w:left="0" w:right="0" w:hanging="0"/>
              <w:jc w:val="center"/>
              <w:rPr/>
            </w:pPr>
            <w:r>
              <w:rPr/>
              <w:t> </w:t>
            </w:r>
          </w:p>
        </w:tc>
        <w:tc>
          <w:tcPr>
            <w:tcW w:w="770" w:type="dxa"/>
            <w:gridSpan w:val="3"/>
            <w:tcBorders/>
            <w:shd w:fill="FFFFFF" w:val="clear"/>
            <w:vAlign w:val="center"/>
          </w:tcPr>
          <w:p>
            <w:pPr>
              <w:pStyle w:val="TableContents"/>
              <w:bidi w:val="0"/>
              <w:spacing w:before="0" w:after="0"/>
              <w:ind w:left="0" w:right="0" w:hanging="0"/>
              <w:jc w:val="center"/>
              <w:rPr/>
            </w:pPr>
            <w:r>
              <w:rPr/>
              <w:t> </w:t>
            </w:r>
          </w:p>
        </w:tc>
        <w:tc>
          <w:tcPr>
            <w:tcW w:w="92" w:type="dxa"/>
            <w:gridSpan w:val="2"/>
            <w:tcBorders/>
            <w:shd w:fill="FFFFFF" w:val="clear"/>
            <w:vAlign w:val="center"/>
          </w:tcPr>
          <w:p>
            <w:pPr>
              <w:pStyle w:val="TableContents"/>
              <w:bidi w:val="0"/>
              <w:spacing w:before="0" w:after="0"/>
              <w:ind w:left="0" w:right="0" w:hanging="0"/>
              <w:jc w:val="center"/>
              <w:rPr/>
            </w:pPr>
            <w:r>
              <w:rPr/>
              <w:t> </w:t>
            </w:r>
          </w:p>
        </w:tc>
        <w:tc>
          <w:tcPr>
            <w:tcW w:w="827" w:type="dxa"/>
            <w:tcBorders/>
            <w:shd w:fill="FFFFFF" w:val="clear"/>
            <w:vAlign w:val="center"/>
          </w:tcPr>
          <w:p>
            <w:pPr>
              <w:pStyle w:val="TableContents"/>
              <w:bidi w:val="0"/>
              <w:spacing w:before="0" w:after="0"/>
              <w:ind w:left="0" w:right="0" w:hanging="0"/>
              <w:jc w:val="center"/>
              <w:rPr/>
            </w:pPr>
            <w:r>
              <w:rPr/>
              <w:t> </w:t>
            </w:r>
          </w:p>
        </w:tc>
        <w:tc>
          <w:tcPr>
            <w:tcW w:w="92" w:type="dxa"/>
            <w:gridSpan w:val="2"/>
            <w:tcBorders/>
            <w:shd w:fill="FFFFFF" w:val="clear"/>
            <w:vAlign w:val="center"/>
          </w:tcPr>
          <w:p>
            <w:pPr>
              <w:pStyle w:val="TableContents"/>
              <w:bidi w:val="0"/>
              <w:spacing w:before="0" w:after="0"/>
              <w:ind w:left="0" w:right="0" w:hanging="0"/>
              <w:jc w:val="center"/>
              <w:rPr/>
            </w:pPr>
            <w:r>
              <w:rPr/>
              <w:t> </w:t>
            </w:r>
          </w:p>
        </w:tc>
        <w:tc>
          <w:tcPr>
            <w:tcW w:w="886" w:type="dxa"/>
            <w:gridSpan w:val="2"/>
            <w:tcBorders/>
            <w:shd w:fill="FFFFFF" w:val="clear"/>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Filed herewith.</w:t>
            </w:r>
          </w:p>
        </w:tc>
      </w:tr>
      <w:tr>
        <w:trPr/>
        <w:tc>
          <w:tcPr>
            <w:tcW w:w="17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Certain schedules and exhibits have been omitted pursuant to Item 601(a)(5) of Regulation S-K. A copy of any omitted schedule or exhibit will be furnished supplementally to the Securities and Exchange Commission upon request; provided, however that the Company may request confidential treatment pursuant to Rule 24b-2 of the Securities Exchange Act of 1934, as amended, for any schedule or exhibit so furnished.</w:t>
            </w:r>
          </w:p>
        </w:tc>
      </w:tr>
    </w:tbl>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II-2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Item 17.</w:t>
      </w:r>
      <w:r>
        <w:rPr>
          <w:rFonts w:ascii="times new roman" w:hAnsi="times new roman"/>
          <w:sz w:val="20"/>
        </w:rPr>
        <w:t> </w:t>
      </w:r>
      <w:r>
        <w:rPr>
          <w:rStyle w:val="StrongEmphasis"/>
          <w:rFonts w:ascii="times new roman" w:hAnsi="times new roman"/>
          <w:sz w:val="20"/>
        </w:rPr>
        <w:t>Undertakings</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hereby undertake: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73"/>
        <w:gridCol w:w="9864"/>
      </w:tblGrid>
      <w:tr>
        <w:trPr/>
        <w:tc>
          <w:tcPr>
            <w:tcW w:w="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86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 file, during any period in which offers or sales are being made, a post-effective amendment to this registration statement:</w:t>
            </w:r>
          </w:p>
        </w:tc>
      </w:tr>
    </w:tbl>
    <w:p>
      <w:pPr>
        <w:pStyle w:val="TextBody"/>
        <w:bidi w:val="0"/>
        <w:spacing w:before="0" w:after="0"/>
        <w:ind w:left="0" w:right="0" w:hanging="0"/>
        <w:jc w:val="both"/>
        <w:rPr/>
      </w:pPr>
      <w:r>
        <w:rPr/>
        <w:t> </w:t>
      </w:r>
    </w:p>
    <w:p>
      <w:pPr>
        <w:pStyle w:val="TextBody"/>
        <w:bidi w:val="0"/>
        <w:spacing w:before="0" w:after="0"/>
        <w:ind w:left="675" w:right="0" w:firstLine="675"/>
        <w:jc w:val="both"/>
        <w:rPr>
          <w:rFonts w:ascii="times new roman" w:hAnsi="times new roman"/>
          <w:sz w:val="20"/>
        </w:rPr>
      </w:pPr>
      <w:r>
        <w:rPr>
          <w:rFonts w:ascii="times new roman" w:hAnsi="times new roman"/>
          <w:sz w:val="20"/>
        </w:rPr>
        <w:t>(i) To include any prospectus required by Section 10(a)(3) of the Securities Act of 1933, as amended (the “</w:t>
      </w:r>
      <w:r>
        <w:rPr>
          <w:rFonts w:ascii="times new roman" w:hAnsi="times new roman"/>
          <w:sz w:val="20"/>
          <w:u w:val="single"/>
        </w:rPr>
        <w:t>Securities Act</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675" w:right="0" w:firstLine="675"/>
        <w:jc w:val="both"/>
        <w:rPr>
          <w:rFonts w:ascii="times new roman" w:hAnsi="times new roman"/>
          <w:sz w:val="20"/>
        </w:rPr>
      </w:pPr>
      <w:r>
        <w:rPr>
          <w:rFonts w:ascii="times new roman" w:hAnsi="times new roman"/>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w:t>
      </w:r>
      <w:r>
        <w:rPr>
          <w:rFonts w:ascii="times new roman" w:hAnsi="times new roman"/>
          <w:sz w:val="20"/>
          <w:u w:val="single"/>
        </w:rPr>
        <w:t>Calculation of Registration Fee</w:t>
      </w:r>
      <w:r>
        <w:rPr>
          <w:rFonts w:ascii="times new roman" w:hAnsi="times new roman"/>
          <w:sz w:val="20"/>
        </w:rPr>
        <w:t>” table in the effective registration statement; and</w:t>
      </w:r>
    </w:p>
    <w:p>
      <w:pPr>
        <w:pStyle w:val="TextBody"/>
        <w:bidi w:val="0"/>
        <w:spacing w:before="0" w:after="0"/>
        <w:ind w:left="0" w:right="0" w:hanging="0"/>
        <w:jc w:val="both"/>
        <w:rPr/>
      </w:pPr>
      <w:r>
        <w:rPr/>
        <w:t> </w:t>
      </w:r>
    </w:p>
    <w:p>
      <w:pPr>
        <w:pStyle w:val="TextBody"/>
        <w:bidi w:val="0"/>
        <w:spacing w:before="0" w:after="0"/>
        <w:ind w:left="675" w:right="0" w:firstLine="675"/>
        <w:jc w:val="both"/>
        <w:rPr>
          <w:rFonts w:ascii="times new roman" w:hAnsi="times new roman"/>
          <w:sz w:val="20"/>
        </w:rPr>
      </w:pPr>
      <w:r>
        <w:rPr>
          <w:rFonts w:ascii="times new roman" w:hAnsi="times new roman"/>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provided, however, </w:t>
      </w:r>
      <w:r>
        <w:rPr>
          <w:rFonts w:ascii="times new roman" w:hAnsi="times new roman"/>
          <w:sz w:val="20"/>
        </w:rPr>
        <w:t>that paragraphs (1)(i), (l)(ii) and (l)(iii) of this section do not apply if the information required to be included in a post-effective amendment by those paragraphs is contained in reports filed with or furnished to the SEC by the registrant pursuant to Section 13 or Section 15(d) of the Securities Exchange Act of 1934, as amended (the “</w:t>
      </w:r>
      <w:r>
        <w:rPr>
          <w:rFonts w:ascii="times new roman" w:hAnsi="times new roman"/>
          <w:sz w:val="20"/>
          <w:u w:val="single"/>
        </w:rPr>
        <w:t>Exchange Act</w:t>
      </w:r>
      <w:r>
        <w:rPr>
          <w:rFonts w:ascii="times new roman" w:hAnsi="times new roman"/>
          <w:sz w:val="20"/>
        </w:rPr>
        <w:t>”) that are incorporated by reference in the registration statement.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0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87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pPr>
      <w:r>
        <w:rPr/>
        <w:t> </w:t>
      </w:r>
    </w:p>
    <w:tbl>
      <w:tblPr>
        <w:tblW w:w="7473" w:type="dxa"/>
        <w:jc w:val="left"/>
        <w:tblInd w:w="0" w:type="dxa"/>
        <w:tblLayout w:type="fixed"/>
        <w:tblCellMar>
          <w:top w:w="0" w:type="dxa"/>
          <w:left w:w="0" w:type="dxa"/>
          <w:bottom w:w="0" w:type="dxa"/>
          <w:right w:w="0" w:type="dxa"/>
        </w:tblCellMar>
      </w:tblPr>
      <w:tblGrid>
        <w:gridCol w:w="68"/>
        <w:gridCol w:w="275"/>
        <w:gridCol w:w="713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713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That, for the purpose of determining liability under the Securities Act to any purchaser,</w:t>
            </w:r>
          </w:p>
        </w:tc>
      </w:tr>
    </w:tbl>
    <w:p>
      <w:pPr>
        <w:pStyle w:val="TextBody"/>
        <w:bidi w:val="0"/>
        <w:spacing w:before="0" w:after="0"/>
        <w:ind w:left="0" w:right="0" w:hanging="0"/>
        <w:jc w:val="both"/>
        <w:rPr/>
      </w:pPr>
      <w:r>
        <w:rPr/>
        <w:t> </w:t>
      </w:r>
    </w:p>
    <w:p>
      <w:pPr>
        <w:pStyle w:val="TextBody"/>
        <w:bidi w:val="0"/>
        <w:spacing w:before="0" w:after="0"/>
        <w:ind w:left="675" w:right="0" w:firstLine="675"/>
        <w:jc w:val="both"/>
        <w:rPr>
          <w:rFonts w:ascii="times new roman" w:hAnsi="times new roman"/>
          <w:sz w:val="20"/>
        </w:rPr>
      </w:pPr>
      <w:r>
        <w:rPr>
          <w:rFonts w:ascii="times new roman" w:hAnsi="times new roman"/>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both"/>
        <w:rPr/>
      </w:pPr>
      <w:r>
        <w:rPr/>
        <w:t> </w:t>
      </w:r>
    </w:p>
    <w:p>
      <w:pPr>
        <w:pStyle w:val="TextBody"/>
        <w:bidi w:val="0"/>
        <w:spacing w:before="0" w:after="0"/>
        <w:ind w:left="675" w:right="0" w:firstLine="675"/>
        <w:jc w:val="both"/>
        <w:rPr>
          <w:rFonts w:ascii="times new roman" w:hAnsi="times new roman"/>
          <w:sz w:val="20"/>
        </w:rPr>
      </w:pPr>
      <w:r>
        <w:rPr>
          <w:rFonts w:ascii="times new roman" w:hAnsi="times new roman"/>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25"/>
        <w:gridCol w:w="9912"/>
      </w:tblGrid>
      <w:tr>
        <w:trPr/>
        <w:tc>
          <w:tcPr>
            <w:tcW w:w="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991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20"/>
        <w:gridCol w:w="9917"/>
      </w:tblGrid>
      <w:tr>
        <w:trPr/>
        <w:tc>
          <w:tcPr>
            <w:tcW w:w="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w:t>
            </w:r>
          </w:p>
        </w:tc>
        <w:tc>
          <w:tcPr>
            <w:tcW w:w="991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Insofar as indemnification for liabilities arising under the Securities Act may be permitted to directors, officers, and controlling persons of the registrant pursuant to the provisions described under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II-3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SIGNATURES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Texas, on the 25th day of August, 2026.</w:t>
      </w:r>
    </w:p>
    <w:p>
      <w:pPr>
        <w:pStyle w:val="TextBody"/>
        <w:bidi w:val="0"/>
        <w:spacing w:before="0" w:after="0"/>
        <w:ind w:left="0" w:right="0" w:hanging="0"/>
        <w:jc w:val="both"/>
        <w:rPr/>
      </w:pPr>
      <w:r>
        <w:rPr/>
        <w:t> </w:t>
      </w:r>
    </w:p>
    <w:tbl>
      <w:tblPr>
        <w:tblW w:w="4720" w:type="dxa"/>
        <w:jc w:val="left"/>
        <w:tblInd w:w="0" w:type="dxa"/>
        <w:tblLayout w:type="fixed"/>
        <w:tblCellMar>
          <w:top w:w="0" w:type="dxa"/>
          <w:left w:w="0" w:type="dxa"/>
          <w:bottom w:w="0" w:type="dxa"/>
          <w:right w:w="0" w:type="dxa"/>
        </w:tblCellMar>
      </w:tblPr>
      <w:tblGrid>
        <w:gridCol w:w="105"/>
        <w:gridCol w:w="575"/>
        <w:gridCol w:w="3905"/>
        <w:gridCol w:w="135"/>
      </w:tblGrid>
      <w:tr>
        <w:trPr/>
        <w:tc>
          <w:tcPr>
            <w:tcW w:w="105" w:type="dxa"/>
            <w:tcBorders/>
            <w:vAlign w:val="center"/>
          </w:tcPr>
          <w:p>
            <w:pPr>
              <w:pStyle w:val="TableContents"/>
              <w:bidi w:val="0"/>
              <w:spacing w:before="0" w:after="0"/>
              <w:ind w:left="0" w:right="0" w:hanging="0"/>
              <w:jc w:val="both"/>
              <w:rPr/>
            </w:pPr>
            <w:r>
              <w:rPr/>
              <w:t> </w:t>
            </w:r>
          </w:p>
        </w:tc>
        <w:tc>
          <w:tcPr>
            <w:tcW w:w="4480"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PEDEVCO Corp.</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4480" w:type="dxa"/>
            <w:gridSpan w:val="2"/>
            <w:tcBorders/>
            <w:vAlign w:val="center"/>
          </w:tcPr>
          <w:p>
            <w:pPr>
              <w:pStyle w:val="TableContents"/>
              <w:bidi w:val="0"/>
              <w:spacing w:before="0" w:after="0"/>
              <w:ind w:left="0" w:right="0" w:hanging="0"/>
              <w:jc w:val="both"/>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By:</w:t>
            </w:r>
          </w:p>
        </w:tc>
        <w:tc>
          <w:tcPr>
            <w:tcW w:w="3905" w:type="dxa"/>
            <w:tcBorders>
              <w:bottom w:val="single" w:sz="2" w:space="0" w:color="000000"/>
            </w:tcBorders>
            <w:tcMar>
              <w:bottom w:w="28" w:type="dxa"/>
            </w:tcMar>
            <w:vAlign w:val="center"/>
          </w:tcPr>
          <w:p>
            <w:pPr>
              <w:pStyle w:val="TableContents"/>
              <w:bidi w:val="0"/>
              <w:spacing w:before="0" w:after="0"/>
              <w:ind w:left="0" w:right="0" w:hanging="0"/>
              <w:jc w:val="both"/>
              <w:rPr/>
            </w:pPr>
            <w:r>
              <w:rPr>
                <w:rStyle w:val="Emphasis"/>
                <w:rFonts w:ascii="times new roman" w:hAnsi="times new roman"/>
                <w:sz w:val="20"/>
              </w:rPr>
              <w:t>/s/ J. Douglas Schick</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Name:</w:t>
            </w:r>
          </w:p>
        </w:tc>
        <w:tc>
          <w:tcPr>
            <w:tcW w:w="39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J. Douglas Schick</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Title:</w:t>
            </w:r>
          </w:p>
        </w:tc>
        <w:tc>
          <w:tcPr>
            <w:tcW w:w="39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President, Chief Executive Officer, and Director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75" w:type="dxa"/>
            <w:tcBorders/>
            <w:vAlign w:val="center"/>
          </w:tcPr>
          <w:p>
            <w:pPr>
              <w:pStyle w:val="TableContents"/>
              <w:bidi w:val="0"/>
              <w:spacing w:before="0" w:after="0"/>
              <w:ind w:left="0" w:right="0" w:hanging="0"/>
              <w:jc w:val="both"/>
              <w:rPr/>
            </w:pPr>
            <w:r>
              <w:rPr/>
              <w:t> </w:t>
            </w:r>
          </w:p>
        </w:tc>
        <w:tc>
          <w:tcPr>
            <w:tcW w:w="39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(Principal Executive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bookmarkStart w:id="16" w:name="porwe"/>
      <w:bookmarkEnd w:id="16"/>
      <w:r>
        <w:rPr>
          <w:rStyle w:val="StrongEmphasis"/>
          <w:rFonts w:ascii="times new roman" w:hAnsi="times new roman"/>
          <w:sz w:val="20"/>
        </w:rPr>
        <w:t>POWER OF ATTORNEY</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KNOW ALL MEN BY THESE PRESENTS, that each person whose signature appears below constitutes and appoints J. Douglas Schick and Robert J. Long, and each of them, true and lawful attorneys-in-fact and agents, with full power of substitution and resubstitution for him and her and in his and her name, place and stead, in any and all capacities, to sign any and all amendments (including post-effective amendments) to this Registration Statement, and any subsequent registration statements pursuant to Rule 462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each of said attorney-in-fact or his or her substitute or substitutes, may lawfully do or cause to be done by virtue hereof.</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both"/>
        <w:rPr/>
      </w:pPr>
      <w:r>
        <w:rPr/>
        <w:t> </w:t>
      </w:r>
    </w:p>
    <w:tbl>
      <w:tblPr>
        <w:tblW w:w="7290" w:type="dxa"/>
        <w:jc w:val="left"/>
        <w:tblInd w:w="0" w:type="dxa"/>
        <w:tblLayout w:type="fixed"/>
        <w:tblCellMar>
          <w:top w:w="0" w:type="dxa"/>
          <w:left w:w="0" w:type="dxa"/>
          <w:bottom w:w="28" w:type="dxa"/>
          <w:right w:w="0" w:type="dxa"/>
        </w:tblCellMar>
      </w:tblPr>
      <w:tblGrid>
        <w:gridCol w:w="1760"/>
        <w:gridCol w:w="90"/>
        <w:gridCol w:w="3905"/>
        <w:gridCol w:w="90"/>
        <w:gridCol w:w="1445"/>
      </w:tblGrid>
      <w:tr>
        <w:trPr/>
        <w:tc>
          <w:tcPr>
            <w:tcW w:w="1760"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Signature</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390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Title</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44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Date</w:t>
            </w:r>
          </w:p>
        </w:tc>
      </w:tr>
      <w:tr>
        <w:trPr/>
        <w:tc>
          <w:tcPr>
            <w:tcW w:w="1760" w:type="dxa"/>
            <w:tcBorders/>
            <w:tcMar>
              <w:bottom w:w="0" w:type="dxa"/>
            </w:tcMar>
            <w:vAlign w:val="center"/>
          </w:tcPr>
          <w:p>
            <w:pPr>
              <w:pStyle w:val="TableContents"/>
              <w:bidi w:val="0"/>
              <w:spacing w:before="0" w:after="283"/>
              <w:jc w:val="left"/>
              <w:rPr>
                <w:sz w:val="4"/>
                <w:szCs w:val="4"/>
              </w:rPr>
            </w:pPr>
            <w:r>
              <w:rPr>
                <w:sz w:val="4"/>
                <w:szCs w:val="4"/>
              </w:rPr>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3905" w:type="dxa"/>
            <w:tcBorders/>
            <w:tcMar>
              <w:bottom w:w="0" w:type="dxa"/>
            </w:tcMar>
            <w:vAlign w:val="center"/>
          </w:tcPr>
          <w:p>
            <w:pPr>
              <w:pStyle w:val="TableContents"/>
              <w:bidi w:val="0"/>
              <w:spacing w:before="0" w:after="283"/>
              <w:jc w:val="left"/>
              <w:rPr>
                <w:sz w:val="4"/>
                <w:szCs w:val="4"/>
              </w:rPr>
            </w:pPr>
            <w:r>
              <w:rPr>
                <w:sz w:val="4"/>
                <w:szCs w:val="4"/>
              </w:rPr>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44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76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/s/ J. Douglas Schick</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390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Chief Executive Officer, and Director</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44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August 25, 2026</w:t>
            </w:r>
          </w:p>
        </w:tc>
      </w:tr>
      <w:tr>
        <w:trPr/>
        <w:tc>
          <w:tcPr>
            <w:tcW w:w="17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 Douglas Schick</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90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Executive Officer)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5" w:type="dxa"/>
            <w:tcBorders/>
            <w:tcMar>
              <w:bottom w:w="0" w:type="dxa"/>
            </w:tcMar>
            <w:vAlign w:val="center"/>
          </w:tcPr>
          <w:p>
            <w:pPr>
              <w:pStyle w:val="TableContents"/>
              <w:bidi w:val="0"/>
              <w:spacing w:before="0" w:after="0"/>
              <w:ind w:left="0" w:right="0" w:hanging="0"/>
              <w:jc w:val="left"/>
              <w:rPr/>
            </w:pPr>
            <w:r>
              <w:rPr/>
              <w:t> </w:t>
            </w:r>
          </w:p>
        </w:tc>
      </w:tr>
      <w:tr>
        <w:trPr/>
        <w:tc>
          <w:tcPr>
            <w:tcW w:w="17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90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5" w:type="dxa"/>
            <w:tcBorders/>
            <w:tcMar>
              <w:bottom w:w="0" w:type="dxa"/>
            </w:tcMar>
            <w:vAlign w:val="center"/>
          </w:tcPr>
          <w:p>
            <w:pPr>
              <w:pStyle w:val="TableContents"/>
              <w:bidi w:val="0"/>
              <w:spacing w:before="0" w:after="0"/>
              <w:ind w:left="0" w:right="0" w:hanging="0"/>
              <w:jc w:val="left"/>
              <w:rPr/>
            </w:pPr>
            <w:r>
              <w:rPr/>
              <w:t> </w:t>
            </w:r>
          </w:p>
        </w:tc>
      </w:tr>
      <w:tr>
        <w:trPr/>
        <w:tc>
          <w:tcPr>
            <w:tcW w:w="176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/s/ Robert J. Long</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390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 and Treasurer</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44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August 25, 2026</w:t>
            </w:r>
          </w:p>
        </w:tc>
      </w:tr>
      <w:tr>
        <w:trPr/>
        <w:tc>
          <w:tcPr>
            <w:tcW w:w="17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Robert J. Long</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390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Financial and Accounting Officer)</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44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760" w:type="dxa"/>
            <w:tcBorders/>
            <w:tcMar>
              <w:bottom w:w="0" w:type="dxa"/>
            </w:tcMar>
            <w:vAlign w:val="center"/>
          </w:tcPr>
          <w:p>
            <w:pPr>
              <w:pStyle w:val="TableContents"/>
              <w:bidi w:val="0"/>
              <w:spacing w:before="0" w:after="283"/>
              <w:jc w:val="left"/>
              <w:rPr>
                <w:sz w:val="4"/>
                <w:szCs w:val="4"/>
              </w:rPr>
            </w:pPr>
            <w:r>
              <w:rPr>
                <w:sz w:val="4"/>
                <w:szCs w:val="4"/>
              </w:rPr>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3905" w:type="dxa"/>
            <w:tcBorders/>
            <w:tcMar>
              <w:bottom w:w="0" w:type="dxa"/>
            </w:tcMar>
            <w:vAlign w:val="center"/>
          </w:tcPr>
          <w:p>
            <w:pPr>
              <w:pStyle w:val="TableContents"/>
              <w:bidi w:val="0"/>
              <w:spacing w:before="0" w:after="283"/>
              <w:jc w:val="left"/>
              <w:rPr>
                <w:sz w:val="4"/>
                <w:szCs w:val="4"/>
              </w:rPr>
            </w:pPr>
            <w:r>
              <w:rPr>
                <w:sz w:val="4"/>
                <w:szCs w:val="4"/>
              </w:rPr>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44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176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/s/ Josh Schmidt</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390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Director</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44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August 25, 2026</w:t>
            </w:r>
          </w:p>
        </w:tc>
      </w:tr>
      <w:tr>
        <w:trPr/>
        <w:tc>
          <w:tcPr>
            <w:tcW w:w="17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Josh Schmidt</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3905" w:type="dxa"/>
            <w:tcBorders/>
            <w:tcMar>
              <w:bottom w:w="0" w:type="dxa"/>
            </w:tcMar>
            <w:vAlign w:val="center"/>
          </w:tcPr>
          <w:p>
            <w:pPr>
              <w:pStyle w:val="TableContents"/>
              <w:bidi w:val="0"/>
              <w:spacing w:before="0" w:after="283"/>
              <w:jc w:val="left"/>
              <w:rPr>
                <w:sz w:val="4"/>
                <w:szCs w:val="4"/>
              </w:rPr>
            </w:pPr>
            <w:r>
              <w:rPr>
                <w:sz w:val="4"/>
                <w:szCs w:val="4"/>
              </w:rPr>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445" w:type="dxa"/>
            <w:tcBorders/>
            <w:tcMar>
              <w:bottom w:w="0" w:type="dxa"/>
            </w:tcMar>
            <w:vAlign w:val="center"/>
          </w:tcPr>
          <w:p>
            <w:pPr>
              <w:pStyle w:val="TableContents"/>
              <w:bidi w:val="0"/>
              <w:spacing w:before="0" w:after="0"/>
              <w:ind w:left="0" w:right="0" w:hanging="0"/>
              <w:jc w:val="left"/>
              <w:rPr/>
            </w:pPr>
            <w:r>
              <w:rPr/>
              <w:t> </w:t>
            </w:r>
          </w:p>
        </w:tc>
      </w:tr>
      <w:tr>
        <w:trPr/>
        <w:tc>
          <w:tcPr>
            <w:tcW w:w="1760" w:type="dxa"/>
            <w:tcBorders/>
            <w:tcMar>
              <w:bottom w:w="0" w:type="dxa"/>
            </w:tcMar>
            <w:vAlign w:val="center"/>
          </w:tcPr>
          <w:p>
            <w:pPr>
              <w:pStyle w:val="TableContents"/>
              <w:bidi w:val="0"/>
              <w:spacing w:before="0" w:after="283"/>
              <w:jc w:val="left"/>
              <w:rPr>
                <w:sz w:val="4"/>
                <w:szCs w:val="4"/>
              </w:rPr>
            </w:pPr>
            <w:r>
              <w:rPr>
                <w:sz w:val="4"/>
                <w:szCs w:val="4"/>
              </w:rPr>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3905" w:type="dxa"/>
            <w:tcBorders/>
            <w:tcMar>
              <w:bottom w:w="0" w:type="dxa"/>
            </w:tcMar>
            <w:vAlign w:val="center"/>
          </w:tcPr>
          <w:p>
            <w:pPr>
              <w:pStyle w:val="TableContents"/>
              <w:bidi w:val="0"/>
              <w:spacing w:before="0" w:after="283"/>
              <w:jc w:val="left"/>
              <w:rPr>
                <w:sz w:val="4"/>
                <w:szCs w:val="4"/>
              </w:rPr>
            </w:pPr>
            <w:r>
              <w:rPr>
                <w:sz w:val="4"/>
                <w:szCs w:val="4"/>
              </w:rPr>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445" w:type="dxa"/>
            <w:tcBorders/>
            <w:tcMar>
              <w:bottom w:w="0" w:type="dxa"/>
            </w:tcMar>
            <w:vAlign w:val="center"/>
          </w:tcPr>
          <w:p>
            <w:pPr>
              <w:pStyle w:val="TableContents"/>
              <w:bidi w:val="0"/>
              <w:spacing w:before="0" w:after="0"/>
              <w:ind w:left="0" w:right="0" w:hanging="0"/>
              <w:jc w:val="left"/>
              <w:rPr/>
            </w:pPr>
            <w:r>
              <w:rPr/>
              <w:t> </w:t>
            </w:r>
          </w:p>
        </w:tc>
      </w:tr>
      <w:tr>
        <w:trPr/>
        <w:tc>
          <w:tcPr>
            <w:tcW w:w="176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/s/ John K. Howie</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390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Director</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44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August 25, 2026</w:t>
            </w:r>
          </w:p>
        </w:tc>
      </w:tr>
      <w:tr>
        <w:trPr/>
        <w:tc>
          <w:tcPr>
            <w:tcW w:w="17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John K. Howie</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3905" w:type="dxa"/>
            <w:tcBorders/>
            <w:tcMar>
              <w:bottom w:w="0" w:type="dxa"/>
            </w:tcMar>
            <w:vAlign w:val="center"/>
          </w:tcPr>
          <w:p>
            <w:pPr>
              <w:pStyle w:val="TableContents"/>
              <w:bidi w:val="0"/>
              <w:spacing w:before="0" w:after="283"/>
              <w:jc w:val="left"/>
              <w:rPr>
                <w:sz w:val="4"/>
                <w:szCs w:val="4"/>
              </w:rPr>
            </w:pPr>
            <w:r>
              <w:rPr>
                <w:sz w:val="4"/>
                <w:szCs w:val="4"/>
              </w:rPr>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445" w:type="dxa"/>
            <w:tcBorders/>
            <w:tcMar>
              <w:bottom w:w="0" w:type="dxa"/>
            </w:tcMar>
            <w:vAlign w:val="center"/>
          </w:tcPr>
          <w:p>
            <w:pPr>
              <w:pStyle w:val="TableContents"/>
              <w:bidi w:val="0"/>
              <w:spacing w:before="0" w:after="0"/>
              <w:ind w:left="0" w:right="0" w:hanging="0"/>
              <w:jc w:val="left"/>
              <w:rPr/>
            </w:pPr>
            <w:r>
              <w:rPr/>
              <w:t> </w:t>
            </w:r>
          </w:p>
        </w:tc>
      </w:tr>
      <w:tr>
        <w:trPr/>
        <w:tc>
          <w:tcPr>
            <w:tcW w:w="17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90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5" w:type="dxa"/>
            <w:tcBorders/>
            <w:tcMar>
              <w:bottom w:w="0" w:type="dxa"/>
            </w:tcMar>
            <w:vAlign w:val="center"/>
          </w:tcPr>
          <w:p>
            <w:pPr>
              <w:pStyle w:val="TableContents"/>
              <w:bidi w:val="0"/>
              <w:spacing w:before="0" w:after="0"/>
              <w:ind w:left="0" w:right="0" w:hanging="0"/>
              <w:jc w:val="left"/>
              <w:rPr/>
            </w:pPr>
            <w:r>
              <w:rPr/>
              <w:t> </w:t>
            </w:r>
          </w:p>
        </w:tc>
      </w:tr>
      <w:tr>
        <w:trPr/>
        <w:tc>
          <w:tcPr>
            <w:tcW w:w="176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/s/ Martyn Willsher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90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Director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August 25, 2026</w:t>
            </w:r>
          </w:p>
        </w:tc>
      </w:tr>
      <w:tr>
        <w:trPr/>
        <w:tc>
          <w:tcPr>
            <w:tcW w:w="17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Martyn Willsher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90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5" w:type="dxa"/>
            <w:tcBorders/>
            <w:tcMar>
              <w:bottom w:w="0" w:type="dxa"/>
            </w:tcMar>
            <w:vAlign w:val="center"/>
          </w:tcPr>
          <w:p>
            <w:pPr>
              <w:pStyle w:val="TableContents"/>
              <w:bidi w:val="0"/>
              <w:spacing w:before="0" w:after="0"/>
              <w:ind w:left="0" w:right="0" w:hanging="0"/>
              <w:jc w:val="left"/>
              <w:rPr/>
            </w:pPr>
            <w:r>
              <w:rPr/>
              <w:t> </w:t>
            </w:r>
          </w:p>
        </w:tc>
      </w:tr>
      <w:tr>
        <w:trPr/>
        <w:tc>
          <w:tcPr>
            <w:tcW w:w="17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90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5" w:type="dxa"/>
            <w:tcBorders/>
            <w:tcMar>
              <w:bottom w:w="0" w:type="dxa"/>
            </w:tcMar>
            <w:vAlign w:val="center"/>
          </w:tcPr>
          <w:p>
            <w:pPr>
              <w:pStyle w:val="TableContents"/>
              <w:bidi w:val="0"/>
              <w:spacing w:before="0" w:after="0"/>
              <w:ind w:left="0" w:right="0" w:hanging="0"/>
              <w:jc w:val="left"/>
              <w:rPr/>
            </w:pPr>
            <w:r>
              <w:rPr/>
              <w:t> </w:t>
            </w:r>
          </w:p>
        </w:tc>
      </w:tr>
      <w:tr>
        <w:trPr/>
        <w:tc>
          <w:tcPr>
            <w:tcW w:w="176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/s/ Kristel Franklin</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90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Director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August 25, 2026</w:t>
            </w:r>
          </w:p>
        </w:tc>
      </w:tr>
      <w:tr>
        <w:trPr/>
        <w:tc>
          <w:tcPr>
            <w:tcW w:w="17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Kristel Franklin</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90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5" w:type="dxa"/>
            <w:tcBorders/>
            <w:tcMar>
              <w:bottom w:w="0" w:type="dxa"/>
            </w:tcMar>
            <w:vAlign w:val="center"/>
          </w:tcPr>
          <w:p>
            <w:pPr>
              <w:pStyle w:val="TableContents"/>
              <w:bidi w:val="0"/>
              <w:spacing w:before="0" w:after="0"/>
              <w:ind w:left="0" w:right="0" w:hanging="0"/>
              <w:jc w:val="left"/>
              <w:rPr/>
            </w:pPr>
            <w:r>
              <w:rPr/>
              <w:t> </w:t>
            </w:r>
          </w:p>
        </w:tc>
      </w:tr>
      <w:tr>
        <w:trPr/>
        <w:tc>
          <w:tcPr>
            <w:tcW w:w="17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90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5" w:type="dxa"/>
            <w:tcBorders/>
            <w:tcMar>
              <w:bottom w:w="0" w:type="dxa"/>
            </w:tcMar>
            <w:vAlign w:val="center"/>
          </w:tcPr>
          <w:p>
            <w:pPr>
              <w:pStyle w:val="TableContents"/>
              <w:bidi w:val="0"/>
              <w:spacing w:before="0" w:after="0"/>
              <w:ind w:left="0" w:right="0" w:hanging="0"/>
              <w:jc w:val="left"/>
              <w:rPr/>
            </w:pPr>
            <w:r>
              <w:rPr/>
              <w:t> </w:t>
            </w:r>
          </w:p>
        </w:tc>
      </w:tr>
      <w:tr>
        <w:trPr/>
        <w:tc>
          <w:tcPr>
            <w:tcW w:w="176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/s/ Edward Geiser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90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Director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August 25, 2026</w:t>
            </w:r>
          </w:p>
        </w:tc>
      </w:tr>
      <w:tr>
        <w:trPr/>
        <w:tc>
          <w:tcPr>
            <w:tcW w:w="17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Edward Geiser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90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45"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tbl>
      <w:tblPr>
        <w:tblW w:w="455" w:type="dxa"/>
        <w:jc w:val="left"/>
        <w:tblInd w:w="0" w:type="dxa"/>
        <w:tblLayout w:type="fixed"/>
        <w:tblCellMar>
          <w:top w:w="0" w:type="dxa"/>
          <w:left w:w="0" w:type="dxa"/>
          <w:bottom w:w="0" w:type="dxa"/>
          <w:right w:w="0" w:type="dxa"/>
        </w:tblCellMar>
      </w:tblPr>
      <w:tblGrid>
        <w:gridCol w:w="455"/>
      </w:tblGrid>
      <w:tr>
        <w:trPr/>
        <w:tc>
          <w:tcPr>
            <w:tcW w:w="455" w:type="dxa"/>
            <w:tcBorders/>
            <w:vAlign w:val="center"/>
          </w:tcPr>
          <w:p>
            <w:pPr>
              <w:pStyle w:val="TableContents"/>
              <w:bidi w:val="0"/>
              <w:spacing w:before="0" w:after="283"/>
              <w:ind w:left="0" w:right="0" w:hanging="0"/>
              <w:jc w:val="left"/>
              <w:rPr/>
            </w:pPr>
            <w:r>
              <w:rPr/>
              <w:t> </w:t>
            </w:r>
          </w:p>
        </w:tc>
      </w:tr>
      <w:tr>
        <w:trPr/>
        <w:tc>
          <w:tcPr>
            <w:tcW w:w="455" w:type="dxa"/>
            <w:tcBorders>
              <w:bottom w:val="single" w:sz="2" w:space="0" w:color="000000"/>
            </w:tcBorders>
            <w:tcMar>
              <w:bottom w:w="28" w:type="dxa"/>
            </w:tcMar>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17" w:name="ped_ex51.htm"/>
      <w:bookmarkStart w:id="18" w:name="ksped_ex51"/>
      <w:bookmarkEnd w:id="17"/>
      <w:bookmarkEnd w:id="18"/>
      <w:r>
        <w:rPr/>
        <w:t> </w:t>
      </w:r>
      <w:r>
        <w:rPr>
          <w:rStyle w:val="StrongEmphasis"/>
          <w:rFonts w:ascii="times new roman" w:hAnsi="times new roman"/>
          <w:sz w:val="20"/>
        </w:rPr>
        <w:t>EXHIBIT 5.1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pPr>
      <w:r>
        <w:rPr/>
        <w:drawing>
          <wp:inline distT="0" distB="0" distL="0" distR="0">
            <wp:extent cx="5476875" cy="1247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7"/>
                    <a:stretch>
                      <a:fillRect/>
                    </a:stretch>
                  </pic:blipFill>
                  <pic:spPr bwMode="auto">
                    <a:xfrm>
                      <a:off x="0" y="0"/>
                      <a:ext cx="5476875" cy="1247775"/>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August 25, 2026</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left"/>
        <w:rPr>
          <w:rFonts w:ascii="times new roman" w:hAnsi="times new roman"/>
          <w:sz w:val="20"/>
        </w:rPr>
      </w:pPr>
      <w:r>
        <w:rPr>
          <w:rFonts w:ascii="times new roman" w:hAnsi="times new roman"/>
          <w:sz w:val="20"/>
        </w:rPr>
        <w:t>575 N. Dairy Ashford, Suite 210</w:t>
      </w:r>
    </w:p>
    <w:p>
      <w:pPr>
        <w:pStyle w:val="TextBody"/>
        <w:bidi w:val="0"/>
        <w:spacing w:before="0" w:after="0"/>
        <w:ind w:left="0" w:right="0" w:hanging="0"/>
        <w:jc w:val="left"/>
        <w:rPr>
          <w:rFonts w:ascii="times new roman" w:hAnsi="times new roman"/>
          <w:sz w:val="20"/>
        </w:rPr>
      </w:pPr>
      <w:r>
        <w:rPr>
          <w:rFonts w:ascii="times new roman" w:hAnsi="times new roman"/>
          <w:sz w:val="20"/>
        </w:rPr>
        <w:t>Houston, Texas 77079</w:t>
      </w:r>
    </w:p>
    <w:p>
      <w:pPr>
        <w:pStyle w:val="TextBody"/>
        <w:bidi w:val="0"/>
        <w:spacing w:before="0" w:after="0"/>
        <w:ind w:left="0" w:right="0" w:hanging="0"/>
        <w:jc w:val="left"/>
        <w:rPr/>
      </w:pPr>
      <w:r>
        <w:rPr/>
        <w:t> </w:t>
      </w:r>
    </w:p>
    <w:p>
      <w:pPr>
        <w:pStyle w:val="TextBody"/>
        <w:bidi w:val="0"/>
        <w:spacing w:before="0" w:after="0"/>
        <w:ind w:left="0" w:right="0" w:firstLine="675"/>
        <w:jc w:val="left"/>
        <w:rPr/>
      </w:pPr>
      <w:r>
        <w:rPr>
          <w:rStyle w:val="StrongEmphasis"/>
          <w:rFonts w:ascii="times new roman" w:hAnsi="times new roman"/>
          <w:sz w:val="20"/>
        </w:rPr>
        <w:t>Re:</w:t>
      </w:r>
      <w:r>
        <w:rPr>
          <w:rFonts w:ascii="times new roman" w:hAnsi="times new roman"/>
          <w:sz w:val="20"/>
        </w:rPr>
        <w:t xml:space="preserve"> </w:t>
      </w:r>
      <w:r>
        <w:rPr>
          <w:rStyle w:val="StrongEmphasis"/>
          <w:rFonts w:ascii="times new roman" w:hAnsi="times new roman"/>
          <w:sz w:val="20"/>
          <w:u w:val="single"/>
        </w:rPr>
        <w:t>Form S-3 Resale Registration Statement</w:t>
      </w:r>
    </w:p>
    <w:p>
      <w:pPr>
        <w:pStyle w:val="TextBody"/>
        <w:bidi w:val="0"/>
        <w:spacing w:before="0" w:after="0"/>
        <w:ind w:left="0" w:right="0" w:hanging="0"/>
        <w:jc w:val="left"/>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Ladies and Gentlemen:</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acted as counsel to PEDEVCO Corp., a Texas corporation (the “</w:t>
      </w:r>
      <w:r>
        <w:rPr>
          <w:rFonts w:ascii="times new roman" w:hAnsi="times new roman"/>
          <w:sz w:val="20"/>
          <w:u w:val="single"/>
        </w:rPr>
        <w:t>Company</w:t>
      </w:r>
      <w:r>
        <w:rPr>
          <w:rFonts w:ascii="times new roman" w:hAnsi="times new roman"/>
          <w:sz w:val="20"/>
        </w:rPr>
        <w:t>”), in connection with the filing, with the Securities and Exchange Commission (the “</w:t>
      </w:r>
      <w:r>
        <w:rPr>
          <w:rFonts w:ascii="times new roman" w:hAnsi="times new roman"/>
          <w:sz w:val="20"/>
          <w:u w:val="single"/>
        </w:rPr>
        <w:t>Commission</w:t>
      </w:r>
      <w:r>
        <w:rPr>
          <w:rFonts w:ascii="times new roman" w:hAnsi="times new roman"/>
          <w:sz w:val="20"/>
        </w:rPr>
        <w:t>”), by the Company, of Registration Statement on Form S-3 (the “</w:t>
      </w:r>
      <w:r>
        <w:rPr>
          <w:rFonts w:ascii="times new roman" w:hAnsi="times new roman"/>
          <w:sz w:val="20"/>
          <w:u w:val="single"/>
        </w:rPr>
        <w:t>Registration Statement</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relating to the resale from time to time by the selling stockholders identified in the prospectus constituting a part of the Registration Statement of up to 11,040,909 shares of common stock, par value $0.001 per share of the Company (the “</w:t>
      </w:r>
      <w:r>
        <w:rPr>
          <w:rFonts w:ascii="times new roman" w:hAnsi="times new roman"/>
          <w:sz w:val="20"/>
          <w:u w:val="single"/>
        </w:rPr>
        <w:t>Shares</w:t>
      </w:r>
      <w:r>
        <w:rPr>
          <w:rFonts w:ascii="times new roman" w:hAnsi="times new roman"/>
          <w:sz w:val="20"/>
        </w:rPr>
        <w:t>”), held by the selling stockholders named in the Registration Statement and as described in greater detail in the Registration Statement to which this opinion has been filed as an exhibit. This opinion is being furnished in accordance with the requirements of Item 601(b)(5) of Regulation S-K.</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Company’s Amended and Restated Certificate of Formation, as amended to date; (ii) the Company’s Amended and Restated Bylaws; (iii) the Registration Statement and the exhibits thereto, (iv) certain resolutions adopted by the Board of Directors of the Company; (v) certain agreements pursuant to which the Shares were issued to the selling stockholders; (vi) the minutes and applicable agreements relating to the sale, issuance and grant, of the Shares; and (vii) such other certificates, instruments, agreements, and documents as we have considered necessary for purposes of this opinion letter. We have also reviewed such matters of law as we considered necessary or appropriate as a basis for the opinion expressed below.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to various questions of fact material to the opinions expressed below, we have, without independent third party verification of their accuracy, relied in part, and to the extent we deemed reasonably necessary or appropriate, upon the representations and warranties of the Company contained in such documents, records, certificates, instruments or representations furnished or made available to us by the Company, including the Registration Statement and, to the extent that we deemed such reliance proper, upon certificates of public officials and officers or other representatives of the Company.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With your permission, we have made and relied upon the following assumptions, without any independent investigation or inquiry by us, and our opinion expressed below is subject to, and limited and qualified by the effect of, such assumptions: (1) all corporate records furnished to us by the Company are accurate and complete; (2) the Registration Statement to be filed by the Company with the Commission will be identical to the form of the document that we have reviewed; (3) all statements as to factual matters that are contained in the Registration Statement (including the exhibits to the Registration Statement) are accurate and complete; and (4) in connection with each issuance of any Shares, the Company will duly execute and deliver a stock certificate evidencing the Shares or, with respect to any Shares issued on an uncertificated basis, the Company will comply with applicable laws regarding the documentation of uncertificated securities.</w:t>
      </w:r>
    </w:p>
    <w:p>
      <w:pPr>
        <w:pStyle w:val="TextBody"/>
        <w:bidi w:val="0"/>
        <w:spacing w:before="0" w:after="0"/>
        <w:ind w:left="0" w:right="0" w:firstLine="675"/>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1</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also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and (vi) that all information contained in all documents reviewed by us is true, correct and complete.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Based upon the foregoing, and subject to the qualifications, assumptions and limitations, and exceptions set forth stated herein, and having due regard for the legal considerations we deem relevant, we are of the opinion that the Shares are validly issued, fully paid and non-assessable.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opinion is expressly limited in scope to the Shares enumerated herein which are to be expressly covered by the referenced Registration Statement. Without limiting the generality of the foregoing, we neither express nor imply any opinion regarding the contents of the Registration Statement, other than as expressly stated above with respect to the Shares.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express no opinion as to the laws of any state or jurisdiction other than the State of Texas and the federal laws of the United States of America. No opinion is expressed herein with respect to the qualification of the Shares under the securities or blue sky laws of any state or any foreign jurisdiction. We have made such examination of Texas law as we have deemed relevant for purposes of this opinion. We express no opinion as to any county, municipal, city, town or village ordinance, rule, regulation or administrative decision. The references and limitations to the laws of the “</w:t>
      </w:r>
      <w:r>
        <w:rPr>
          <w:rFonts w:ascii="times new roman" w:hAnsi="times new roman"/>
          <w:sz w:val="20"/>
          <w:u w:val="single"/>
        </w:rPr>
        <w:t>State of Texas</w:t>
      </w:r>
      <w:r>
        <w:rPr>
          <w:rFonts w:ascii="times new roman" w:hAnsi="times new roman"/>
          <w:sz w:val="20"/>
        </w:rPr>
        <w:t>” include all applicable Texas statutory provisions of law and reported judicial decisions interpreting these laws.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opinion (i) is rendered in connection with the filing of the Registration Statement, (ii) is rendered as of the date hereof, and we undertake no, and hereby disclaim any kind of, obligation to advise you of any change or any new developments that might affect any matters or opinions set forth herein, and (iii) is limited to the matters stated herein and no opinions may be inferred or implied beyond the matters expressly stated herein.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hereby consent to the filing of this opinion with the Securities and Exchange Commission as an exhibit to the Registration Statement and further consent to statements made therein regarding our firm and use of our name under the heading “</w:t>
      </w:r>
      <w:r>
        <w:rPr>
          <w:rFonts w:ascii="times new roman" w:hAnsi="times new roman"/>
          <w:sz w:val="20"/>
          <w:u w:val="single"/>
        </w:rPr>
        <w:t>Legal Matters</w:t>
      </w:r>
      <w:r>
        <w:rPr>
          <w:rFonts w:ascii="times new roman" w:hAnsi="times new roman"/>
          <w:sz w:val="20"/>
        </w:rPr>
        <w:t>” in the prospectus constituting a part of such Registration Statement. In giving this consent, we do not thereby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Very truly yours,</w:t>
      </w:r>
    </w:p>
    <w:p>
      <w:pPr>
        <w:pStyle w:val="TextBody"/>
        <w:bidi w:val="0"/>
        <w:spacing w:before="0" w:after="0"/>
        <w:ind w:left="0" w:right="0" w:hanging="0"/>
        <w:jc w:val="left"/>
        <w:rPr/>
      </w:pPr>
      <w:r>
        <w:rPr/>
        <w:t> </w:t>
      </w:r>
    </w:p>
    <w:p>
      <w:pPr>
        <w:pStyle w:val="TextBody"/>
        <w:bidi w:val="0"/>
        <w:spacing w:before="0" w:after="0"/>
        <w:ind w:left="0" w:right="0" w:firstLine="675"/>
        <w:jc w:val="left"/>
        <w:rPr/>
      </w:pPr>
      <w:r>
        <w:rPr>
          <w:rStyle w:val="Emphasis"/>
          <w:rFonts w:ascii="times new roman" w:hAnsi="times new roman"/>
          <w:sz w:val="20"/>
        </w:rPr>
        <w:t>/s/ The Loev Law Firm, PC</w:t>
      </w:r>
    </w:p>
    <w:p>
      <w:pPr>
        <w:pStyle w:val="TextBody"/>
        <w:bidi w:val="0"/>
        <w:spacing w:before="0" w:after="0"/>
        <w:ind w:left="0" w:right="0" w:firstLine="675"/>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19" w:name="ped_ex231.htm"/>
      <w:bookmarkStart w:id="20" w:name="ksped_ex231"/>
      <w:bookmarkEnd w:id="19"/>
      <w:bookmarkEnd w:id="20"/>
      <w:r>
        <w:rPr>
          <w:rStyle w:val="StrongEmphasis"/>
          <w:rFonts w:ascii="times new roman" w:hAnsi="times new roman"/>
          <w:sz w:val="20"/>
        </w:rPr>
        <w:t>EXHIBIT 23.1</w:t>
      </w:r>
      <w:r>
        <w:br w:type="page"/>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CONSENT OF INDEPENDENT REGISTERED PUBLIC ACCOUNTING FIRM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hereby consent to the incorporation by reference in this Prospectus constituting part of this Registration Statement on Form S-3 of our report dated March 31, 2026, relating to the consolidated financial statements of PEDEVCO Corp., appearing in PEDEVCO Corp.’s Annual Report on Form 10-K for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also consent to the reference to us under the caption “Experts” in the Prospectus forming a part of the Registration Statement.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 Weaver and Tidwell, L.L.P.</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Houston, Texas</w:t>
      </w:r>
    </w:p>
    <w:p>
      <w:pPr>
        <w:pStyle w:val="TextBody"/>
        <w:bidi w:val="0"/>
        <w:spacing w:before="0" w:after="0"/>
        <w:ind w:left="0" w:right="0" w:hanging="0"/>
        <w:jc w:val="both"/>
        <w:rPr>
          <w:rFonts w:ascii="times new roman" w:hAnsi="times new roman"/>
          <w:sz w:val="20"/>
        </w:rPr>
      </w:pPr>
      <w:r>
        <w:rPr>
          <w:rFonts w:ascii="times new roman" w:hAnsi="times new roman"/>
          <w:sz w:val="20"/>
        </w:rPr>
        <w:t>August 25, 2026</w:t>
      </w:r>
    </w:p>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21" w:name="ped_ex232.htm"/>
      <w:bookmarkStart w:id="22" w:name="ksped_ex232"/>
      <w:bookmarkEnd w:id="21"/>
      <w:bookmarkEnd w:id="22"/>
      <w:r>
        <w:rPr>
          <w:rStyle w:val="StrongEmphasis"/>
          <w:rFonts w:ascii="times new roman" w:hAnsi="times new roman"/>
          <w:sz w:val="20"/>
        </w:rPr>
        <w:t>EXHIBIT 23.2</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pPr>
      <w:r>
        <w:rPr>
          <w:rStyle w:val="StrongEmphasis"/>
          <w:rFonts w:ascii="times new roman" w:hAnsi="times new roman"/>
          <w:sz w:val="20"/>
        </w:rPr>
        <w:t>CONSENT OF INDEPENDENT REGISTERED PUBLIC ACCOUNTING FIRM</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hereby consent to the incorporation by reference in this Registration Statement on Form S-3 of PEDEVCO Corp., of our report dated June 2, 2025, relating to the audit of the combined financial statements of North Peak Oil and Gas as of December 31, 2024 and 2023 and for the years then ended, which appears in the Current Report on Form 8-K/A (Amendment No. 2) of PEDEVCO Corp. filed with the Securities and Exchange Commission on January 9, 2026. We also consent to the reference to us under the caption “Experts” in the Prospectus forming a part of the Registration Statement.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 Whitley Penn LLP</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Houston, Texas</w:t>
      </w:r>
    </w:p>
    <w:p>
      <w:pPr>
        <w:pStyle w:val="TextBody"/>
        <w:bidi w:val="0"/>
        <w:spacing w:before="0" w:after="0"/>
        <w:ind w:left="0" w:right="0" w:hanging="0"/>
        <w:jc w:val="both"/>
        <w:rPr>
          <w:rFonts w:ascii="times new roman" w:hAnsi="times new roman"/>
          <w:sz w:val="20"/>
        </w:rPr>
      </w:pPr>
      <w:r>
        <w:rPr>
          <w:rFonts w:ascii="times new roman" w:hAnsi="times new roman"/>
          <w:sz w:val="20"/>
        </w:rPr>
        <w:t>August 25, 2026</w:t>
      </w:r>
    </w:p>
    <w:p>
      <w:pPr>
        <w:pStyle w:val="TextBody"/>
        <w:bidi w:val="0"/>
        <w:spacing w:before="0" w:after="0"/>
        <w:ind w:left="0" w:right="0" w:hanging="0"/>
        <w:jc w:val="right"/>
        <w:rPr/>
      </w:pPr>
      <w:bookmarkStart w:id="23" w:name="ped_ex233.htm"/>
      <w:bookmarkStart w:id="24" w:name="ksped_ex233"/>
      <w:bookmarkEnd w:id="23"/>
      <w:bookmarkEnd w:id="24"/>
      <w:r>
        <w:rPr>
          <w:rStyle w:val="StrongEmphasis"/>
          <w:rFonts w:ascii="times new roman" w:hAnsi="times new roman"/>
          <w:sz w:val="20"/>
        </w:rPr>
        <w:t>EXHIBIT 23.3</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pPr>
      <w:r>
        <w:rPr/>
        <w:drawing>
          <wp:inline distT="0" distB="0" distL="0" distR="0">
            <wp:extent cx="5943600" cy="876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8"/>
                    <a:stretch>
                      <a:fillRect/>
                    </a:stretch>
                  </pic:blipFill>
                  <pic:spPr bwMode="auto">
                    <a:xfrm>
                      <a:off x="0" y="0"/>
                      <a:ext cx="5943600" cy="876300"/>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CONSENT OF PETROLEUM ENGINEERS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consent to all references to our firm in the form and context in which they appear in, or are incorporated by reference into, this Registration Statement on Form S-3 of PEDEVCO Corp. (the “</w:t>
      </w:r>
      <w:r>
        <w:rPr>
          <w:rFonts w:ascii="times new roman" w:hAnsi="times new roman"/>
          <w:sz w:val="20"/>
          <w:u w:val="single"/>
        </w:rPr>
        <w:t>Company</w:t>
      </w:r>
      <w:r>
        <w:rPr>
          <w:rFonts w:ascii="times new roman" w:hAnsi="times new roman"/>
          <w:sz w:val="20"/>
        </w:rPr>
        <w:t>”) and to all the references to, and to the incorporation by reference into this Form S-3 of our report dated January 22, 2026, entitled “PEDEVCO Corp. Interests – Various Oil and Gas Properties in CO, NM and WY – Total Proved Reserves as of December 31, 2025”, and the information from our Report contained in the Company’s Annual Report on Form 10-K for the year ended December 31, 2025.</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also consent to the reference to us under the caption “Experts” in the Prospectus forming a part of the Registration Statement.</w:t>
      </w:r>
    </w:p>
    <w:p>
      <w:pPr>
        <w:pStyle w:val="TextBody"/>
        <w:bidi w:val="0"/>
        <w:spacing w:before="0" w:after="0"/>
        <w:ind w:left="0" w:right="0" w:hanging="0"/>
        <w:jc w:val="both"/>
        <w:rPr/>
      </w:pPr>
      <w:r>
        <w:rPr/>
        <w:t> </w:t>
      </w:r>
    </w:p>
    <w:tbl>
      <w:tblPr>
        <w:tblW w:w="6839" w:type="dxa"/>
        <w:jc w:val="left"/>
        <w:tblInd w:w="0" w:type="dxa"/>
        <w:tblLayout w:type="fixed"/>
        <w:tblCellMar>
          <w:top w:w="0" w:type="dxa"/>
          <w:left w:w="0" w:type="dxa"/>
          <w:bottom w:w="0" w:type="dxa"/>
          <w:right w:w="0" w:type="dxa"/>
        </w:tblCellMar>
      </w:tblPr>
      <w:tblGrid>
        <w:gridCol w:w="105"/>
        <w:gridCol w:w="3734"/>
        <w:gridCol w:w="2865"/>
        <w:gridCol w:w="135"/>
      </w:tblGrid>
      <w:tr>
        <w:trPr/>
        <w:tc>
          <w:tcPr>
            <w:tcW w:w="105" w:type="dxa"/>
            <w:tcBorders/>
            <w:vAlign w:val="center"/>
          </w:tcPr>
          <w:p>
            <w:pPr>
              <w:pStyle w:val="TableContents"/>
              <w:bidi w:val="0"/>
              <w:spacing w:before="0" w:after="0"/>
              <w:ind w:left="0" w:right="0" w:hanging="0"/>
              <w:jc w:val="left"/>
              <w:rPr/>
            </w:pPr>
            <w:r>
              <w:rPr/>
              <w:t> </w:t>
            </w:r>
          </w:p>
        </w:tc>
        <w:tc>
          <w:tcPr>
            <w:tcW w:w="6599" w:type="dxa"/>
            <w:gridSpan w:val="2"/>
            <w:tcBorders/>
            <w:vAlign w:val="center"/>
          </w:tcPr>
          <w:p>
            <w:pPr>
              <w:pStyle w:val="TableContents"/>
              <w:bidi w:val="0"/>
              <w:spacing w:before="0" w:after="0"/>
              <w:ind w:left="0" w:right="0" w:hanging="0"/>
              <w:jc w:val="left"/>
              <w:rPr/>
            </w:pPr>
            <w:r>
              <w:rPr>
                <w:rStyle w:val="Emphasis"/>
                <w:rFonts w:ascii="times new roman" w:hAnsi="times new roman"/>
                <w:sz w:val="20"/>
              </w:rPr>
              <w:t>CAWLEY, GILLESPIE &amp; ASSOCIATES, INC.</w:t>
            </w:r>
          </w:p>
          <w:p>
            <w:pPr>
              <w:pStyle w:val="TableContents"/>
              <w:bidi w:val="0"/>
              <w:spacing w:before="0" w:after="0"/>
              <w:ind w:left="0" w:right="0" w:hanging="0"/>
              <w:jc w:val="left"/>
              <w:rPr/>
            </w:pPr>
            <w:r>
              <w:rPr>
                <w:rStyle w:val="Emphasis"/>
                <w:rFonts w:ascii="times new roman" w:hAnsi="times new roman"/>
                <w:sz w:val="20"/>
              </w:rPr>
              <w:t>Texas Registered Engineering Firm F-693</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734" w:type="dxa"/>
            <w:tcBorders/>
            <w:vAlign w:val="center"/>
          </w:tcPr>
          <w:p>
            <w:pPr>
              <w:pStyle w:val="TableContents"/>
              <w:bidi w:val="0"/>
              <w:spacing w:before="0" w:after="0"/>
              <w:ind w:left="0" w:right="0" w:hanging="0"/>
              <w:jc w:val="left"/>
              <w:rPr/>
            </w:pPr>
            <w:r>
              <w:rPr/>
              <w:t> </w:t>
            </w:r>
          </w:p>
        </w:tc>
        <w:tc>
          <w:tcPr>
            <w:tcW w:w="286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0"/>
              <w:ind w:left="0" w:right="0" w:firstLine="263"/>
              <w:jc w:val="both"/>
              <w:rPr>
                <w:rFonts w:ascii="times new roman" w:hAnsi="times new roman"/>
                <w:sz w:val="20"/>
              </w:rPr>
            </w:pPr>
            <w:r>
              <w:rPr>
                <w:rFonts w:ascii="times new roman" w:hAnsi="times new roman"/>
                <w:sz w:val="20"/>
              </w:rPr>
              <w:t>By:</w:t>
            </w:r>
          </w:p>
        </w:tc>
        <w:tc>
          <w:tcPr>
            <w:tcW w:w="2865"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800225"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9"/>
                          <a:stretch>
                            <a:fillRect/>
                          </a:stretch>
                        </pic:blipFill>
                        <pic:spPr bwMode="auto">
                          <a:xfrm>
                            <a:off x="0" y="0"/>
                            <a:ext cx="1800225" cy="419100"/>
                          </a:xfrm>
                          <a:prstGeom prst="rect">
                            <a:avLst/>
                          </a:prstGeom>
                        </pic:spPr>
                      </pic:pic>
                    </a:graphicData>
                  </a:graphic>
                </wp:inline>
              </w:drawing>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734"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 Todd Brooker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734"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Austin, Texas</w:t>
      </w:r>
    </w:p>
    <w:p>
      <w:pPr>
        <w:pStyle w:val="TextBody"/>
        <w:bidi w:val="0"/>
        <w:spacing w:before="0" w:after="0"/>
        <w:ind w:left="0" w:right="0" w:hanging="0"/>
        <w:jc w:val="both"/>
        <w:rPr>
          <w:rFonts w:ascii="times new roman" w:hAnsi="times new roman"/>
          <w:sz w:val="20"/>
        </w:rPr>
      </w:pPr>
      <w:r>
        <w:rPr>
          <w:rFonts w:ascii="times new roman" w:hAnsi="times new roman"/>
          <w:sz w:val="20"/>
        </w:rPr>
        <w:t>August 25, 2026</w:t>
      </w:r>
    </w:p>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25" w:name="ped_ex101.htm"/>
      <w:bookmarkStart w:id="26" w:name="ksped_ex101"/>
      <w:bookmarkEnd w:id="25"/>
      <w:bookmarkEnd w:id="26"/>
      <w:r>
        <w:rPr>
          <w:rStyle w:val="StrongEmphasis"/>
          <w:rFonts w:ascii="times new roman" w:hAnsi="times new roman"/>
          <w:sz w:val="20"/>
        </w:rPr>
        <w:t>EXHIBIT 10.1</w:t>
      </w:r>
      <w:r>
        <w:br w:type="page"/>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SERIES A CONVERTIBLE PREFERRED STOCK</w:t>
      </w:r>
    </w:p>
    <w:p>
      <w:pPr>
        <w:pStyle w:val="TextBody"/>
        <w:bidi w:val="0"/>
        <w:spacing w:before="0" w:after="0"/>
        <w:ind w:left="0" w:right="0" w:hanging="0"/>
        <w:jc w:val="center"/>
        <w:rPr/>
      </w:pPr>
      <w:r>
        <w:rPr>
          <w:rStyle w:val="StrongEmphasis"/>
          <w:rFonts w:ascii="times new roman" w:hAnsi="times new roman"/>
          <w:sz w:val="20"/>
        </w:rPr>
        <w:t>SUBSCRIPTION AGREEMENT</w:t>
      </w:r>
    </w:p>
    <w:p>
      <w:pPr>
        <w:pStyle w:val="TextBody"/>
        <w:bidi w:val="0"/>
        <w:spacing w:before="0" w:after="0"/>
        <w:ind w:left="0" w:right="0" w:hanging="0"/>
        <w:jc w:val="center"/>
        <w:rPr/>
      </w:pPr>
      <w:r>
        <w:rPr/>
        <w:t> </w:t>
      </w:r>
    </w:p>
    <w:tbl>
      <w:tblPr>
        <w:tblW w:w="6310" w:type="dxa"/>
        <w:jc w:val="left"/>
        <w:tblInd w:w="0" w:type="dxa"/>
        <w:tblLayout w:type="fixed"/>
        <w:tblCellMar>
          <w:top w:w="0" w:type="dxa"/>
          <w:left w:w="0" w:type="dxa"/>
          <w:bottom w:w="0" w:type="dxa"/>
          <w:right w:w="0" w:type="dxa"/>
        </w:tblCellMar>
      </w:tblPr>
      <w:tblGrid>
        <w:gridCol w:w="2000"/>
        <w:gridCol w:w="90"/>
        <w:gridCol w:w="4220"/>
      </w:tblGrid>
      <w:tr>
        <w:trPr/>
        <w:tc>
          <w:tcPr>
            <w:tcW w:w="2000" w:type="dxa"/>
            <w:tcBorders/>
            <w:vAlign w:val="center"/>
          </w:tcPr>
          <w:p>
            <w:pPr>
              <w:pStyle w:val="TableContents"/>
              <w:bidi w:val="0"/>
              <w:spacing w:before="0" w:after="0"/>
              <w:ind w:left="0" w:right="0" w:hanging="0"/>
              <w:jc w:val="left"/>
              <w:rPr/>
            </w:pPr>
            <w:r>
              <w:rPr>
                <w:rFonts w:ascii="times new roman" w:hAnsi="times new roman"/>
                <w:sz w:val="20"/>
              </w:rPr>
              <w:t xml:space="preserve">Date: </w:t>
            </w:r>
            <w:r>
              <w:rPr>
                <w:rStyle w:val="StrongEmphasis"/>
                <w:rFonts w:ascii="times new roman" w:hAnsi="times new roman"/>
                <w:sz w:val="20"/>
              </w:rPr>
              <w:t>October __, 2025</w:t>
            </w:r>
          </w:p>
        </w:tc>
        <w:tc>
          <w:tcPr>
            <w:tcW w:w="90" w:type="dxa"/>
            <w:tcBorders/>
            <w:vAlign w:val="center"/>
          </w:tcPr>
          <w:p>
            <w:pPr>
              <w:pStyle w:val="TableContents"/>
              <w:bidi w:val="0"/>
              <w:spacing w:before="0" w:after="0"/>
              <w:ind w:left="0" w:right="0" w:hanging="0"/>
              <w:jc w:val="left"/>
              <w:rPr/>
            </w:pPr>
            <w:r>
              <w:rPr/>
              <w:t> </w:t>
            </w:r>
          </w:p>
        </w:tc>
        <w:tc>
          <w:tcPr>
            <w:tcW w:w="4220" w:type="dxa"/>
            <w:tcBorders/>
            <w:vAlign w:val="center"/>
          </w:tcPr>
          <w:p>
            <w:pPr>
              <w:pStyle w:val="TableContents"/>
              <w:bidi w:val="0"/>
              <w:spacing w:before="0" w:after="0"/>
              <w:ind w:left="0" w:right="0" w:hanging="0"/>
              <w:jc w:val="right"/>
              <w:rPr/>
            </w:pPr>
            <w:r>
              <w:rPr>
                <w:rFonts w:ascii="times new roman" w:hAnsi="times new roman"/>
                <w:sz w:val="20"/>
              </w:rPr>
              <w:t xml:space="preserve">Full Subscription Commitment: </w:t>
            </w:r>
            <w:r>
              <w:rPr>
                <w:rStyle w:val="StrongEmphasis"/>
                <w:rFonts w:ascii="times new roman" w:hAnsi="times new roman"/>
                <w:sz w:val="20"/>
              </w:rPr>
              <w:t>US$___________</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1. Subscription:</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sz w:val="20"/>
        </w:rPr>
        <w:t>(a) The undersigned purchasers who have executed a copy of the Participant signature page hereof and delivered the Purchase Price to the Company (collectively, the “</w:t>
      </w:r>
      <w:r>
        <w:rPr>
          <w:rStyle w:val="StrongEmphasis"/>
          <w:rFonts w:ascii="times new roman" w:hAnsi="times new roman"/>
          <w:sz w:val="20"/>
          <w:u w:val="single"/>
        </w:rPr>
        <w:t>Participants</w:t>
      </w:r>
      <w:r>
        <w:rPr>
          <w:rFonts w:ascii="times new roman" w:hAnsi="times new roman"/>
          <w:sz w:val="20"/>
        </w:rPr>
        <w:t>” and each, a “</w:t>
      </w:r>
      <w:r>
        <w:rPr>
          <w:rStyle w:val="StrongEmphasis"/>
          <w:rFonts w:ascii="times new roman" w:hAnsi="times new roman"/>
          <w:sz w:val="20"/>
          <w:u w:val="single"/>
        </w:rPr>
        <w:t>Participant</w:t>
      </w:r>
      <w:r>
        <w:rPr>
          <w:rFonts w:ascii="times new roman" w:hAnsi="times new roman"/>
          <w:sz w:val="20"/>
        </w:rPr>
        <w:t>”) hereby apply to purchase Series A Convertible Preferred Stock (the “</w:t>
      </w:r>
      <w:r>
        <w:rPr>
          <w:rStyle w:val="StrongEmphasis"/>
          <w:rFonts w:ascii="times new roman" w:hAnsi="times new roman"/>
          <w:sz w:val="20"/>
          <w:u w:val="single"/>
        </w:rPr>
        <w:t>Preferred Stock</w:t>
      </w:r>
      <w:r>
        <w:rPr>
          <w:rFonts w:ascii="times new roman" w:hAnsi="times new roman"/>
          <w:sz w:val="20"/>
        </w:rPr>
        <w:t>” or the “</w:t>
      </w:r>
      <w:r>
        <w:rPr>
          <w:rStyle w:val="StrongEmphasis"/>
          <w:rFonts w:ascii="times new roman" w:hAnsi="times new roman"/>
          <w:sz w:val="20"/>
          <w:u w:val="single"/>
        </w:rPr>
        <w:t>Shares</w:t>
      </w:r>
      <w:r>
        <w:rPr>
          <w:rFonts w:ascii="times new roman" w:hAnsi="times new roman"/>
          <w:sz w:val="20"/>
        </w:rPr>
        <w:t>”) of PEDEVCO Corp., a Texas corporation (the “</w:t>
      </w:r>
      <w:r>
        <w:rPr>
          <w:rStyle w:val="StrongEmphasis"/>
          <w:rFonts w:ascii="times new roman" w:hAnsi="times new roman"/>
          <w:sz w:val="20"/>
          <w:u w:val="single"/>
        </w:rPr>
        <w:t>Company</w:t>
      </w:r>
      <w:r>
        <w:rPr>
          <w:rFonts w:ascii="times new roman" w:hAnsi="times new roman"/>
          <w:sz w:val="20"/>
        </w:rPr>
        <w:t>”), in the amount set forth below their signature on the signature page of this Agreement, in accordance with the terms and conditions of (i) this Subscription Agreement (the “</w:t>
      </w:r>
      <w:r>
        <w:rPr>
          <w:rStyle w:val="StrongEmphasis"/>
          <w:rFonts w:ascii="times new roman" w:hAnsi="times new roman"/>
          <w:sz w:val="20"/>
          <w:u w:val="single"/>
        </w:rPr>
        <w:t>Subscription</w:t>
      </w:r>
      <w:r>
        <w:rPr>
          <w:rFonts w:ascii="times new roman" w:hAnsi="times new roman"/>
          <w:sz w:val="20"/>
        </w:rPr>
        <w:t>” or “</w:t>
      </w:r>
      <w:r>
        <w:rPr>
          <w:rStyle w:val="StrongEmphasis"/>
          <w:rFonts w:ascii="times new roman" w:hAnsi="times new roman"/>
          <w:sz w:val="20"/>
          <w:u w:val="single"/>
        </w:rPr>
        <w:t>Agreement</w:t>
      </w:r>
      <w:r>
        <w:rPr>
          <w:rFonts w:ascii="times new roman" w:hAnsi="times new roman"/>
          <w:sz w:val="20"/>
        </w:rPr>
        <w:t>”), and (ii) the Second Amended and Restated Certificate of Designations of PEDEVCO Corp. Establishing the Designations, Preferences, Limitations and Relative Rights of its Series A Convertible Preferred Stock (the “</w:t>
      </w:r>
      <w:r>
        <w:rPr>
          <w:rStyle w:val="StrongEmphasis"/>
          <w:rFonts w:ascii="times new roman" w:hAnsi="times new roman"/>
          <w:sz w:val="20"/>
        </w:rPr>
        <w:t>Certificate</w:t>
      </w:r>
      <w:r>
        <w:rPr>
          <w:rFonts w:ascii="times new roman" w:hAnsi="times new roman"/>
          <w:sz w:val="20"/>
        </w:rPr>
        <w:t xml:space="preserve">”), which is attached hereto as </w:t>
      </w:r>
      <w:r>
        <w:rPr>
          <w:rStyle w:val="StrongEmphasis"/>
          <w:rFonts w:ascii="times new roman" w:hAnsi="times new roman"/>
          <w:sz w:val="20"/>
          <w:u w:val="single"/>
        </w:rPr>
        <w:t>Exhibit B</w:t>
      </w:r>
      <w:r>
        <w:rPr>
          <w:rStyle w:val="StrongEmphasis"/>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sz w:val="20"/>
        </w:rPr>
        <w:t xml:space="preserve">(b) Each Share has a price per share of </w:t>
      </w:r>
      <w:r>
        <w:rPr>
          <w:rStyle w:val="StrongEmphasis"/>
          <w:rFonts w:ascii="times new roman" w:hAnsi="times new roman"/>
          <w:sz w:val="20"/>
        </w:rPr>
        <w:t xml:space="preserve">$5.50 </w:t>
      </w:r>
      <w:r>
        <w:rPr>
          <w:rFonts w:ascii="times new roman" w:hAnsi="times new roman"/>
          <w:sz w:val="20"/>
        </w:rPr>
        <w:t>(the “</w:t>
      </w:r>
      <w:r>
        <w:rPr>
          <w:rStyle w:val="StrongEmphasis"/>
          <w:rFonts w:ascii="times new roman" w:hAnsi="times new roman"/>
          <w:sz w:val="20"/>
          <w:u w:val="single"/>
        </w:rPr>
        <w:t>Purchase Price</w:t>
      </w:r>
      <w:r>
        <w:rPr>
          <w:rFonts w:ascii="times new roman" w:hAnsi="times new roman"/>
          <w:sz w:val="20"/>
        </w:rPr>
        <w:t>”, which term, depending on its context shall also refer to the aggregate consideration due from each Participant for the aggregate amount of Shares purchased by such Participant hereunder).</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 Before this Subscription is considered, the Participant must complete, execute and deliver to the Company the following:</w:t>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(i) This Subscription;</w:t>
      </w:r>
    </w:p>
    <w:p>
      <w:pPr>
        <w:pStyle w:val="TextBody"/>
        <w:bidi w:val="0"/>
        <w:spacing w:before="0" w:after="0"/>
        <w:ind w:left="0" w:right="0" w:hanging="0"/>
        <w:jc w:val="both"/>
        <w:rPr/>
      </w:pPr>
      <w:r>
        <w:rPr/>
        <w:t> </w:t>
      </w:r>
    </w:p>
    <w:p>
      <w:pPr>
        <w:pStyle w:val="TextBody"/>
        <w:bidi w:val="0"/>
        <w:spacing w:before="0" w:after="0"/>
        <w:ind w:left="0" w:right="0" w:firstLine="1440"/>
        <w:jc w:val="both"/>
        <w:rPr/>
      </w:pPr>
      <w:r>
        <w:rPr>
          <w:rFonts w:ascii="times new roman" w:hAnsi="times new roman"/>
          <w:sz w:val="20"/>
        </w:rPr>
        <w:t xml:space="preserve">(ii) The Certificate of Accredited Investor Status and Investor Information, attached hereto as </w:t>
      </w:r>
      <w:r>
        <w:rPr>
          <w:rStyle w:val="StrongEmphasis"/>
          <w:rFonts w:ascii="times new roman" w:hAnsi="times new roman"/>
          <w:sz w:val="20"/>
          <w:u w:val="single"/>
        </w:rPr>
        <w:t>Exhibit A</w:t>
      </w:r>
      <w:r>
        <w:rPr>
          <w:rFonts w:ascii="times new roman" w:hAnsi="times new roman"/>
          <w:sz w:val="20"/>
        </w:rPr>
        <w:t>; and</w:t>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(iii) The Participant’s check in the amount set forth on the signature page hereof in the amount of the aggregate Purchase Price in exchange for the Shares purchased, or wire transfer sent according to the Company’s instructions.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(d) This Subscription is irrevocable by the Participant.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(e) This Subscription is not transferable or assignable by the Participant.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 For purposes of this Agreement:</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rFonts w:ascii="times new roman" w:hAnsi="times new roman"/>
          <w:sz w:val="20"/>
        </w:rPr>
        <w:t>(i) “</w:t>
      </w:r>
      <w:r>
        <w:rPr>
          <w:rStyle w:val="StrongEmphasis"/>
          <w:rFonts w:ascii="times new roman" w:hAnsi="times new roman"/>
          <w:sz w:val="20"/>
          <w:u w:val="single"/>
        </w:rPr>
        <w:t>Affiliate</w:t>
      </w:r>
      <w:r>
        <w:rPr>
          <w:rFonts w:ascii="times new roman" w:hAnsi="times new roman"/>
          <w:sz w:val="20"/>
        </w:rPr>
        <w:t>” means (A) any Person directly or indirectly controlling, controlled by or under common control with another Person, or (B) any manager, director, officer, partner or employee of a Person; a Person shall be deemed to control another Person if such Person possesses, directly or indirectly, the power to direct or cause the direction of the management and policies of such other Person, whether through ownership of voting securities, by contract, or otherwise.</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rFonts w:ascii="times new roman" w:hAnsi="times new roman"/>
          <w:sz w:val="20"/>
        </w:rPr>
        <w:t>(ii) “</w:t>
      </w:r>
      <w:r>
        <w:rPr>
          <w:rStyle w:val="StrongEmphasis"/>
          <w:rFonts w:ascii="times new roman" w:hAnsi="times new roman"/>
          <w:sz w:val="20"/>
          <w:u w:val="single"/>
        </w:rPr>
        <w:t>Conversion</w:t>
      </w:r>
      <w:r>
        <w:rPr>
          <w:rFonts w:ascii="times new roman" w:hAnsi="times new roman"/>
          <w:sz w:val="20"/>
        </w:rPr>
        <w:t>” means the conversion of the Shares into common stock of the Company as set forth in the Certificate.</w:t>
      </w:r>
    </w:p>
    <w:p>
      <w:pPr>
        <w:pStyle w:val="TextBody"/>
        <w:bidi w:val="0"/>
        <w:spacing w:before="0" w:after="0"/>
        <w:ind w:left="0" w:right="0" w:firstLine="144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pPr>
      <w:r>
        <w:rPr>
          <w:rFonts w:ascii="times new roman" w:hAnsi="times new roman"/>
          <w:sz w:val="20"/>
        </w:rPr>
        <w:t>(iii) “</w:t>
      </w:r>
      <w:r>
        <w:rPr>
          <w:rStyle w:val="StrongEmphasis"/>
          <w:rFonts w:ascii="times new roman" w:hAnsi="times new roman"/>
          <w:sz w:val="20"/>
          <w:u w:val="single"/>
        </w:rPr>
        <w:t>Conversion Shares</w:t>
      </w:r>
      <w:r>
        <w:rPr>
          <w:rFonts w:ascii="times new roman" w:hAnsi="times new roman"/>
          <w:sz w:val="20"/>
        </w:rPr>
        <w:t>” means the shares of Company common stock issuable upon conversion of the Shares.</w:t>
      </w:r>
    </w:p>
    <w:p>
      <w:pPr>
        <w:pStyle w:val="TextBody"/>
        <w:bidi w:val="0"/>
        <w:spacing w:before="0" w:after="0"/>
        <w:ind w:left="0" w:right="0" w:hanging="0"/>
        <w:jc w:val="both"/>
        <w:rPr/>
      </w:pPr>
      <w:r>
        <w:rPr/>
        <w:t> </w:t>
      </w:r>
    </w:p>
    <w:p>
      <w:pPr>
        <w:pStyle w:val="TextBody"/>
        <w:bidi w:val="0"/>
        <w:spacing w:before="0" w:after="0"/>
        <w:ind w:left="0" w:right="0" w:firstLine="1440"/>
        <w:jc w:val="both"/>
        <w:rPr/>
      </w:pPr>
      <w:r>
        <w:rPr>
          <w:rFonts w:ascii="times new roman" w:hAnsi="times new roman"/>
          <w:sz w:val="20"/>
        </w:rPr>
        <w:t>(iv) “</w:t>
      </w:r>
      <w:r>
        <w:rPr>
          <w:rStyle w:val="StrongEmphasis"/>
          <w:rFonts w:ascii="times new roman" w:hAnsi="times new roman"/>
          <w:sz w:val="20"/>
          <w:u w:val="single"/>
        </w:rPr>
        <w:t>Conversion Terms</w:t>
      </w:r>
      <w:r>
        <w:rPr>
          <w:rFonts w:ascii="times new roman" w:hAnsi="times new roman"/>
          <w:sz w:val="20"/>
        </w:rPr>
        <w:t>” shall be the terms and conditions of the conversion of the Shares into common stock of the Company as set forth in the Certificate.</w:t>
      </w:r>
    </w:p>
    <w:p>
      <w:pPr>
        <w:pStyle w:val="TextBody"/>
        <w:bidi w:val="0"/>
        <w:spacing w:before="0" w:after="0"/>
        <w:ind w:left="0" w:right="0" w:hanging="0"/>
        <w:jc w:val="both"/>
        <w:rPr/>
      </w:pPr>
      <w:r>
        <w:rPr/>
        <w:t> </w:t>
      </w:r>
    </w:p>
    <w:p>
      <w:pPr>
        <w:pStyle w:val="TextBody"/>
        <w:bidi w:val="0"/>
        <w:spacing w:before="0" w:after="0"/>
        <w:ind w:left="0" w:right="0" w:firstLine="1440"/>
        <w:jc w:val="both"/>
        <w:rPr/>
      </w:pPr>
      <w:r>
        <w:rPr>
          <w:rFonts w:ascii="times new roman" w:hAnsi="times new roman"/>
          <w:sz w:val="20"/>
        </w:rPr>
        <w:t>(v) “</w:t>
      </w:r>
      <w:r>
        <w:rPr>
          <w:rStyle w:val="StrongEmphasis"/>
          <w:rFonts w:ascii="times new roman" w:hAnsi="times new roman"/>
          <w:sz w:val="20"/>
          <w:u w:val="single"/>
        </w:rPr>
        <w:t>Material Adverse Effect</w:t>
      </w:r>
      <w:r>
        <w:rPr>
          <w:rFonts w:ascii="times new roman" w:hAnsi="times new roman"/>
          <w:sz w:val="20"/>
        </w:rPr>
        <w:t>” means any change, event, development or occurrence, individually or with all other changes, events, developments or occurrences, that has or is reasonably likely to (A) have a material adverse effect on the business, prospects, assets, results of operations or financial condition of the Company or (B) prevent or materially delay consummation of the transactions contemplated hereby or otherwise prevent the Company from performing its obligations under this Agreement on a timely basis in any material respect.</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rFonts w:ascii="times new roman" w:hAnsi="times new roman"/>
          <w:sz w:val="20"/>
        </w:rPr>
        <w:t>(vi) “</w:t>
      </w:r>
      <w:r>
        <w:rPr>
          <w:rStyle w:val="StrongEmphasis"/>
          <w:rFonts w:ascii="times new roman" w:hAnsi="times new roman"/>
          <w:sz w:val="20"/>
          <w:u w:val="single"/>
        </w:rPr>
        <w:t>NYSE American Approval</w:t>
      </w:r>
      <w:r>
        <w:rPr>
          <w:rFonts w:ascii="times new roman" w:hAnsi="times new roman"/>
          <w:sz w:val="20"/>
        </w:rPr>
        <w:t>” shall mean the initial listing approval by the NYSE American of the shares of common stock issuable upon conversion of the Shares on the NYSE American.</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rFonts w:ascii="times new roman" w:hAnsi="times new roman"/>
          <w:sz w:val="20"/>
        </w:rPr>
        <w:t>(vii) “</w:t>
      </w:r>
      <w:r>
        <w:rPr>
          <w:rStyle w:val="StrongEmphasis"/>
          <w:rFonts w:ascii="times new roman" w:hAnsi="times new roman"/>
          <w:sz w:val="20"/>
          <w:u w:val="single"/>
        </w:rPr>
        <w:t>Person</w:t>
      </w:r>
      <w:r>
        <w:rPr>
          <w:rFonts w:ascii="times new roman" w:hAnsi="times new roman"/>
          <w:sz w:val="20"/>
        </w:rPr>
        <w:t>” means any individual, corporation, partnership, joint venture, limited liability company, trust, unincorporated organization or governmental entity.</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rFonts w:ascii="times new roman" w:hAnsi="times new roman"/>
          <w:sz w:val="20"/>
        </w:rPr>
        <w:t>(viii) “</w:t>
      </w:r>
      <w:r>
        <w:rPr>
          <w:rStyle w:val="StrongEmphasis"/>
          <w:rFonts w:ascii="times new roman" w:hAnsi="times new roman"/>
          <w:sz w:val="20"/>
          <w:u w:val="single"/>
        </w:rPr>
        <w:t>SEC</w:t>
      </w:r>
      <w:r>
        <w:rPr>
          <w:rFonts w:ascii="times new roman" w:hAnsi="times new roman"/>
          <w:sz w:val="20"/>
        </w:rPr>
        <w:t>” means the U.S. Securities and Exchange Commission.</w:t>
      </w:r>
    </w:p>
    <w:p>
      <w:pPr>
        <w:pStyle w:val="TextBody"/>
        <w:bidi w:val="0"/>
        <w:spacing w:before="0" w:after="0"/>
        <w:ind w:left="0" w:right="0" w:hanging="0"/>
        <w:jc w:val="both"/>
        <w:rPr/>
      </w:pPr>
      <w:r>
        <w:rPr/>
        <w:t> </w:t>
      </w:r>
    </w:p>
    <w:p>
      <w:pPr>
        <w:pStyle w:val="TextBody"/>
        <w:bidi w:val="0"/>
        <w:spacing w:before="0" w:after="0"/>
        <w:ind w:left="0" w:right="0" w:firstLine="1440"/>
        <w:jc w:val="both"/>
        <w:rPr/>
      </w:pPr>
      <w:r>
        <w:rPr>
          <w:rFonts w:ascii="times new roman" w:hAnsi="times new roman"/>
          <w:sz w:val="20"/>
        </w:rPr>
        <w:t>(ix) “</w:t>
      </w:r>
      <w:r>
        <w:rPr>
          <w:rStyle w:val="StrongEmphasis"/>
          <w:rFonts w:ascii="times new roman" w:hAnsi="times new roman"/>
          <w:sz w:val="20"/>
          <w:u w:val="single"/>
        </w:rPr>
        <w:t>Securities</w:t>
      </w:r>
      <w:r>
        <w:rPr>
          <w:rFonts w:ascii="times new roman" w:hAnsi="times new roman"/>
          <w:sz w:val="20"/>
        </w:rPr>
        <w:t>” means the Shares and the Conversion Shares.</w:t>
      </w:r>
    </w:p>
    <w:p>
      <w:pPr>
        <w:pStyle w:val="TextBody"/>
        <w:bidi w:val="0"/>
        <w:spacing w:before="0" w:after="0"/>
        <w:ind w:left="0" w:right="0" w:hanging="0"/>
        <w:jc w:val="left"/>
        <w:rPr/>
      </w:pPr>
      <w:r>
        <w:rPr/>
        <w:t> </w:t>
      </w:r>
    </w:p>
    <w:p>
      <w:pPr>
        <w:pStyle w:val="TextBody"/>
        <w:bidi w:val="0"/>
        <w:spacing w:before="0" w:after="0"/>
        <w:ind w:left="0" w:right="0" w:firstLine="1440"/>
        <w:jc w:val="both"/>
        <w:rPr/>
      </w:pPr>
      <w:r>
        <w:rPr>
          <w:rFonts w:ascii="times new roman" w:hAnsi="times new roman"/>
          <w:sz w:val="20"/>
        </w:rPr>
        <w:t>(x) “</w:t>
      </w:r>
      <w:r>
        <w:rPr>
          <w:rStyle w:val="StrongEmphasis"/>
          <w:rFonts w:ascii="times new roman" w:hAnsi="times new roman"/>
          <w:sz w:val="20"/>
          <w:u w:val="single"/>
        </w:rPr>
        <w:t>Shareholder Approval</w:t>
      </w:r>
      <w:r>
        <w:rPr>
          <w:rFonts w:ascii="times new roman" w:hAnsi="times new roman"/>
          <w:sz w:val="20"/>
        </w:rPr>
        <w:t>” shall mean the receipt of the requisite approval from the Company’s shareholders necessary to approve the Conversion Terms and such other matters that are required to be approved by the shareholders of the Company pursuant to applicable NYSE American and SEC rules and regulations.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sz w:val="20"/>
        </w:rPr>
        <w:t>(g) The closing (the “</w:t>
      </w:r>
      <w:r>
        <w:rPr>
          <w:rStyle w:val="StrongEmphasis"/>
          <w:rFonts w:ascii="times new roman" w:hAnsi="times new roman"/>
          <w:sz w:val="20"/>
          <w:u w:val="single"/>
        </w:rPr>
        <w:t>Closing</w:t>
      </w:r>
      <w:r>
        <w:rPr>
          <w:rFonts w:ascii="times new roman" w:hAnsi="times new roman"/>
          <w:sz w:val="20"/>
        </w:rPr>
        <w:t>”) of this offering (the “</w:t>
      </w:r>
      <w:r>
        <w:rPr>
          <w:rStyle w:val="StrongEmphasis"/>
          <w:rFonts w:ascii="times new roman" w:hAnsi="times new roman"/>
          <w:sz w:val="20"/>
          <w:u w:val="single"/>
        </w:rPr>
        <w:t>Offering</w:t>
      </w:r>
      <w:r>
        <w:rPr>
          <w:rFonts w:ascii="times new roman" w:hAnsi="times new roman"/>
          <w:sz w:val="20"/>
        </w:rPr>
        <w:t>”) shall occur simultaneously with the Closing under that certain Agreement and Plan of Merger, dated on or around the date hereof (the “</w:t>
      </w:r>
      <w:r>
        <w:rPr>
          <w:rStyle w:val="StrongEmphasis"/>
          <w:rFonts w:ascii="times new roman" w:hAnsi="times new roman"/>
          <w:sz w:val="20"/>
        </w:rPr>
        <w:t>Merger Agreement</w:t>
      </w:r>
      <w:r>
        <w:rPr>
          <w:rFonts w:ascii="times new roman" w:hAnsi="times new roman"/>
          <w:sz w:val="20"/>
        </w:rPr>
        <w:t>”, and the transactions contemplated therein, the “</w:t>
      </w:r>
      <w:r>
        <w:rPr>
          <w:rStyle w:val="StrongEmphasis"/>
          <w:rFonts w:ascii="times new roman" w:hAnsi="times new roman"/>
          <w:sz w:val="20"/>
        </w:rPr>
        <w:t>Merger</w:t>
      </w:r>
      <w:r>
        <w:rPr>
          <w:rFonts w:ascii="times new roman" w:hAnsi="times new roman"/>
          <w:sz w:val="20"/>
        </w:rPr>
        <w:t xml:space="preserve">”), by and among the Company, NP Merger Sub, LLC, COG Merger Sub, LLC, North Peak Oil &amp; Gas, LLC, Century Oil and Gas Sub Holdings, LLC, and solely for the limited purposes set forth therein, North Peak Oil &amp; Gas Holdings, LLC. </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sz w:val="20"/>
        </w:rPr>
        <w:t>(h) Participant hereby agrees not to, and will cause its Affiliates not to, enter into any “</w:t>
      </w:r>
      <w:r>
        <w:rPr>
          <w:rStyle w:val="StrongEmphasis"/>
          <w:rFonts w:ascii="times new roman" w:hAnsi="times new roman"/>
          <w:sz w:val="20"/>
          <w:u w:val="single"/>
        </w:rPr>
        <w:t>put equivalent position</w:t>
      </w:r>
      <w:r>
        <w:rPr>
          <w:rFonts w:ascii="times new roman" w:hAnsi="times new roman"/>
          <w:sz w:val="20"/>
        </w:rPr>
        <w:t>” as such term is defined in Rule 16a-1 under the Securities Exchange Act of 1934, as amended (the “</w:t>
      </w:r>
      <w:r>
        <w:rPr>
          <w:rStyle w:val="StrongEmphasis"/>
          <w:rFonts w:ascii="times new roman" w:hAnsi="times new roman"/>
          <w:sz w:val="20"/>
          <w:u w:val="single"/>
        </w:rPr>
        <w:t>Exchange Act</w:t>
      </w:r>
      <w:r>
        <w:rPr>
          <w:rFonts w:ascii="times new roman" w:hAnsi="times new roman"/>
          <w:sz w:val="20"/>
        </w:rPr>
        <w:t>”), or short sale position with respect to the Securities at any time that Participant holds any Shares.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2. Representations by Participant.</w:t>
      </w:r>
      <w:r>
        <w:rPr>
          <w:rFonts w:ascii="times new roman" w:hAnsi="times new roman"/>
          <w:sz w:val="20"/>
        </w:rPr>
        <w:t xml:space="preserve"> In consideration of the Company’s potential acceptance of the Subscription, each Participant individually, and not jointly or severally, makes the following representations and warranties to the Company, which warranties and representations shall survive any acceptance of the Subscription by the Company:</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sz w:val="20"/>
        </w:rPr>
        <w:t xml:space="preserve">(a) Without limiting its right to rely upon the representations and warranties of the Company in </w:t>
      </w:r>
      <w:r>
        <w:rPr>
          <w:rFonts w:ascii="times new roman" w:hAnsi="times new roman"/>
          <w:sz w:val="20"/>
          <w:u w:val="single"/>
        </w:rPr>
        <w:t>Section 3</w:t>
      </w:r>
      <w:r>
        <w:rPr>
          <w:rFonts w:ascii="times new roman" w:hAnsi="times new roman"/>
          <w:sz w:val="20"/>
        </w:rPr>
        <w:t>, prior to the time of purchase of the Shares, Participant has had an opportunity to review the Company’s reports, schedules, forms, statements and other documents filed by it with the United States Securities and Exchange Commission (the “</w:t>
      </w:r>
      <w:r>
        <w:rPr>
          <w:rStyle w:val="StrongEmphasis"/>
          <w:rFonts w:ascii="times new roman" w:hAnsi="times new roman"/>
          <w:sz w:val="20"/>
          <w:u w:val="single"/>
        </w:rPr>
        <w:t>SEC Reports</w:t>
      </w:r>
      <w:r>
        <w:rPr>
          <w:rFonts w:ascii="times new roman" w:hAnsi="times new roman"/>
          <w:sz w:val="20"/>
        </w:rPr>
        <w:t xml:space="preserve">”) (which filings can be accessed by going to </w:t>
      </w:r>
      <w:r>
        <w:rPr>
          <w:rFonts w:ascii="times new roman" w:hAnsi="times new roman"/>
          <w:sz w:val="20"/>
          <w:u w:val="single"/>
        </w:rPr>
        <w:t>http://www.sec.gov/edgar/searchedgar/companysearch.html</w:t>
      </w:r>
      <w:r>
        <w:rPr>
          <w:rFonts w:ascii="times new roman" w:hAnsi="times new roman"/>
          <w:sz w:val="20"/>
        </w:rPr>
        <w:t>, typing “</w:t>
      </w:r>
      <w:r>
        <w:rPr>
          <w:rStyle w:val="StrongEmphasis"/>
          <w:rFonts w:ascii="times new roman" w:hAnsi="times new roman"/>
          <w:sz w:val="20"/>
          <w:u w:val="single"/>
        </w:rPr>
        <w:t>PEDEVCO</w:t>
      </w:r>
      <w:r>
        <w:rPr>
          <w:rFonts w:ascii="times new roman" w:hAnsi="times new roman"/>
          <w:sz w:val="20"/>
        </w:rPr>
        <w:t>” in the “</w:t>
      </w:r>
      <w:r>
        <w:rPr>
          <w:rStyle w:val="StrongEmphasis"/>
          <w:rFonts w:ascii="times new roman" w:hAnsi="times new roman"/>
          <w:sz w:val="20"/>
          <w:u w:val="single"/>
        </w:rPr>
        <w:t>Name, ticker symbol, or CIK</w:t>
      </w:r>
      <w:r>
        <w:rPr>
          <w:rFonts w:ascii="times new roman" w:hAnsi="times new roman"/>
          <w:sz w:val="20"/>
        </w:rPr>
        <w:t>” field, and clicking the “Submit” button), and Participant has had the opportunity to ask questions and receive any additional information from persons acting on behalf of the Company to verify Participant’s understanding of the terms thereof and of the Company’s business and status thereof, and all such questions, if any, have been addressed to the satisfaction of the Participant. Participant acknowledges that no officer, director, broker-dealer, placement agent, finder or other person affiliated with the Company has given Participant any information or made any representations, oral or written, other than as provided in the SEC Reports and herein, on which Participant has relied upon in deciding to invest in the Securities.</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sz w:val="20"/>
        </w:rPr>
        <w:t>(b) Participant acknowledges that Participant has not seen, received, been presented with, or been solicited by any leaflet, public promotional meeting, newspaper or magazine article or advertisement, radio or television advertisement, or any form of general solicitation or general advertising (within the meaning of Regulation D under the Securities Act of 1933, as amended (the “</w:t>
      </w:r>
      <w:r>
        <w:rPr>
          <w:rStyle w:val="StrongEmphasis"/>
          <w:rFonts w:ascii="times new roman" w:hAnsi="times new roman"/>
          <w:sz w:val="20"/>
          <w:u w:val="single"/>
        </w:rPr>
        <w:t>Securities Act</w:t>
      </w:r>
      <w:r>
        <w:rPr>
          <w:rFonts w:ascii="times new roman" w:hAnsi="times new roman"/>
          <w:sz w:val="20"/>
        </w:rPr>
        <w:t>”)) with respect to the Securities.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 The Securities are being acquired for Participant’s own account, for investment purposes only and not with a view to, or for sale in connection with, a distribution, as that term is used in Section 2(11) of the Securities Act, in a manner which would require registration under the Securities Act or any state securities laws.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(d) Participant acknowledges that the Securities have not been registered under the Securities Act or qualified under any blue sky laws, in reliance, in part, on Participant’s representations, warranties and agreements made herein.</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sz w:val="20"/>
        </w:rPr>
        <w:t>(e) Other than the rights specifically set forth in this Subscription and disclosed in the SEC Reports, Participant represents, warrants and agrees that the Company and the officers of the Company (the “</w:t>
      </w:r>
      <w:r>
        <w:rPr>
          <w:rStyle w:val="StrongEmphasis"/>
          <w:rFonts w:ascii="times new roman" w:hAnsi="times new roman"/>
          <w:sz w:val="20"/>
          <w:u w:val="single"/>
        </w:rPr>
        <w:t>Company’s Officers</w:t>
      </w:r>
      <w:r>
        <w:rPr>
          <w:rFonts w:ascii="times new roman" w:hAnsi="times new roman"/>
          <w:sz w:val="20"/>
        </w:rPr>
        <w:t>”) are under no obligation to register or qualify the Securities under the Securities Act or under any state securities law, or to assist the undersigned in complying with any exemption from registration and qualification, except as set forth in the Shareholder Agreement (as defined in Section 15 below).</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 Participant represents that Participant meets the criteria for participation because: (i) Participant has a pre-existing personal or business relationship with the Company or one or more of its partners, officers, directors or controlling persons; or (ii) by reason of Participant’s business or financial experience, or by reason of the business or financial experience of its financial advisors who are unaffiliated with, and are not compensated, directly or indirectly, by the Company or any affiliate or selling agent of the Company, Participant is capable of evaluating the risk and merits of an investment in the Securities and of protecting its own interests;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sz w:val="20"/>
        </w:rPr>
        <w:t>(g) Participant represents that Participant is an “</w:t>
      </w:r>
      <w:r>
        <w:rPr>
          <w:rStyle w:val="StrongEmphasis"/>
          <w:rFonts w:ascii="times new roman" w:hAnsi="times new roman"/>
          <w:sz w:val="20"/>
          <w:u w:val="single"/>
        </w:rPr>
        <w:t>accredited investor</w:t>
      </w:r>
      <w:r>
        <w:rPr>
          <w:rFonts w:ascii="times new roman" w:hAnsi="times new roman"/>
          <w:sz w:val="20"/>
        </w:rPr>
        <w:t xml:space="preserve">” as such term is defined in Rule 501 of the Securities Act, and has executed the Certificate of Accredited Investor Status and Investor Information, attached hereto as </w:t>
      </w:r>
      <w:r>
        <w:rPr>
          <w:rStyle w:val="StrongEmphasis"/>
          <w:rFonts w:ascii="times new roman" w:hAnsi="times new roman"/>
          <w:sz w:val="20"/>
          <w:u w:val="single"/>
        </w:rPr>
        <w:t>Exhibit A</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(h) Participant understands that the right to transfer the Securities will be restricted unless the transfer is not in violation of the Securities Act and any other applicable state or foreign securities laws (including investment suitability standards), that the Company will not consent to a transfer of the Securities unless the transferee represents that such transferee meets the financial suitability standards required of an initial participant, and that the Company has the right, in its absolute discretion, to refuse to consent to such transfer, in each case, subject to the terms of the Shareholders Agreement and the Certificate.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 Participant has been advised to consult with its own attorney or attorneys regarding all legal matters concerning an investment in the Company and the tax consequences of purchasing the Securities, and has done so, to the extent Participant considers necessary.</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(j) Participant acknowledges that the tax consequences of investing in the Company will depend on particular circumstances, and neither the Company, the Company’s Officers, any other investors, nor the partners, shareholders, members, directors, agents, officers, employees, affiliates or consultants of any of them, will be responsible or liable for the tax consequences to Participant of an investment in the Company. Participant will look solely to and rely upon its own advisers with respect to the tax consequences of this investment.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(k) All information which Participant has provided to the Company concerning Participant, its financial position and its knowledge of financial and business matters, and any information found in the Certificate of Accredited Investor Status and Investor Information is accurate, correct, and complete as of the date set forth herein.</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sz w:val="20"/>
        </w:rPr>
        <w:t>(l) Participant is in full compliance with, and the Participant’s payment of the Purchase Price in connection with the Offering will be in full compliance with, all applicable U.S. laws, regulations, directives, and executive orders imposing economic sanctions, embargoes, export controls or anti-money laundering requirements, including but not limited to the following laws: (i) the International Emergency Economic Powers Act, 50 U.S.C. 1701-1706; (ii) the National Emergencies Act, 50 U.S.C. 1601-1651; (iii) section 5 of the United Nations Participation Act of 1945, 22 U.S.C. 287c; (iv) Section 321 of the Antiterrorism Act, 18 U.S.C. 2332d; (v) the Export Administration Act of 1979, as amended, 50 U.S.C. app. 2401-2420; (vi) the Trading with the Enemy Act, 50 U.S.C. app. 1 et seq.; (vii) the Uniting and Strengthening America by Providing Appropriate Tools Required to Intercept and Obstruct Terrorism Act of 2001, Public Law 107-56; and (viii) Executive Order 13224 (Blocking Property and Prohibiting Transactions with Persons Who Commit, Threaten to Commit, or Support Terrorism) of September 23, 2001. The Participant represents that the amounts invested by it in the Company in the Offering were not and are not directly or indirectly derived from activities that contravene federal, state or international laws and regulations, including anti-money laundering laws and regulations (collectively, the “</w:t>
      </w:r>
      <w:r>
        <w:rPr>
          <w:rStyle w:val="StrongEmphasis"/>
          <w:rFonts w:ascii="times new roman" w:hAnsi="times new roman"/>
          <w:sz w:val="20"/>
          <w:u w:val="single"/>
        </w:rPr>
        <w:t>Regulations</w:t>
      </w:r>
      <w:r>
        <w:rPr>
          <w:rFonts w:ascii="times new roman" w:hAnsi="times new roman"/>
          <w:sz w:val="20"/>
        </w:rPr>
        <w:t>”). To the best of the Participant’s knowledge, none of: (A) the Participant; (B) any person controlling or controlled by the Participant; (C) if the Participant is a privately-held entity, any person having a beneficial interest in the Participant; or (D) any person for whom the Participant is acting as agent or nominee in connection with this investment is a country, territory, individual or entity named on an Office of Foreign Assets Control (“</w:t>
      </w:r>
      <w:r>
        <w:rPr>
          <w:rStyle w:val="StrongEmphasis"/>
          <w:rFonts w:ascii="times new roman" w:hAnsi="times new roman"/>
          <w:sz w:val="20"/>
          <w:u w:val="single"/>
        </w:rPr>
        <w:t>OFAC</w:t>
      </w:r>
      <w:r>
        <w:rPr>
          <w:rFonts w:ascii="times new roman" w:hAnsi="times new roman"/>
          <w:sz w:val="20"/>
        </w:rPr>
        <w:t>”) list, or a person or entity prohibited under the programs administered by OFAC. Participant will provide additional information or take such actions as may be necessary or advisable for the Company, in its sole judgment, to comply with any such Regulations.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(m) The Participant (on its own behalf and, if applicable, on behalf of any person for whose benefit the Participant is subscribing) acknowledges and consents to the fact the Company is collecting the Participant’s (and any beneficial purchaser’s) personal information pursuant to this Agreement. The Participant (on its own behalf and, if applicable, on behalf of any person for whose benefit the Participant is subscribing) acknowledges and consents to the Company retaining the personal information for as long as permitted or required by applicable law or business practices. The Participant (on its own behalf and, if applicable, on behalf of any person for whose benefit the Participant is subscribing) further acknowledges and consents to the fact the Company may be required by applicable securities laws and stock exchange rules to provide regulatory authorities any personal information provided by the Participant respecting itself (and any beneficial purchaser). By executing this Agreement, the Participant is deemed to be consenting to the foregoing collection, use and disclosure of the Participant’s (and any beneficial purchaser’s) personal information. The Participant also consents to the filing of copies or originals of any of the Participant’s documents described herein as may be required to be filed with any stock exchange or securities regulatory authority in connection with the transactions contemplated hereby. The Participant represents and warrants that it has the authority to provide the consents and acknowledgments set out in this paragraph on behalf of all beneficial purchasers.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(n) The Participant has read and reviewed, understands the terms and conditions of, and has had an opportunity to ask the Company questions regarding, (i) the Certificate, (ii) the Merger Agreement, and (iii) the Shareholder Agreement.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sz w:val="20"/>
        </w:rPr>
        <w:t>(o) The Participant understands and acknowledges that the issuance of the Conversion Shares is subject to the Company’s compliance with applicable requirements under the Exchange Act, including, without limitation: (i) the preparation and filing with the SEC of a preliminary information statement; (ii) the clearance of any comments thereon by the SEC; (iii) the filing with the SEC of a definitive information statement (the “</w:t>
      </w:r>
      <w:r>
        <w:rPr>
          <w:rStyle w:val="StrongEmphasis"/>
          <w:rFonts w:ascii="times new roman" w:hAnsi="times new roman"/>
          <w:sz w:val="20"/>
          <w:u w:val="single"/>
        </w:rPr>
        <w:t>Information Statement</w:t>
      </w:r>
      <w:r>
        <w:rPr>
          <w:rFonts w:ascii="times new roman" w:hAnsi="times new roman"/>
          <w:sz w:val="20"/>
        </w:rPr>
        <w:t>”), after clearing any comments or questions of the SEC; (iv) the mailing or delivery of such Information Statement to the Company’s shareholders; and (v) the expiration of the applicable waiting period under Rule 14c-2 promulgated under the Exchange Act, which requires that information statements be distributed to security holders at least twenty (20) calendar days prior to the taking of corporate action by written consent.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 Each certificate or instrument representing Securities issuable upon conversion thereof, will be endorsed with the following legend:</w:t>
      </w:r>
    </w:p>
    <w:p>
      <w:pPr>
        <w:pStyle w:val="TextBody"/>
        <w:bidi w:val="0"/>
        <w:spacing w:before="0" w:after="0"/>
        <w:ind w:left="0" w:right="0" w:hanging="0"/>
        <w:jc w:val="both"/>
        <w:rPr/>
      </w:pPr>
      <w:r>
        <w:rPr/>
        <w:t> </w:t>
      </w:r>
    </w:p>
    <w:p>
      <w:pPr>
        <w:pStyle w:val="TextBody"/>
        <w:bidi w:val="0"/>
        <w:spacing w:before="0" w:after="0"/>
        <w:ind w:left="720" w:right="0" w:hanging="0"/>
        <w:jc w:val="both"/>
        <w:rPr>
          <w:rFonts w:ascii="times new roman" w:hAnsi="times new roman"/>
          <w:sz w:val="20"/>
        </w:rPr>
      </w:pPr>
      <w:r>
        <w:rPr>
          <w:rFonts w:ascii="times new roman" w:hAnsi="times new roman"/>
          <w:sz w:val="20"/>
        </w:rPr>
        <w:t>THE SECURITIES EVIDENCED BY THIS CERTIFICATE [ISSUABLE UPON CONVERSION HEREOF] HAVE NOT BEEN REGISTERED UNDER THE SECURITIES ACT OF 1933, AS AMENDED, AND MAY NOT BE SOLD, TRANSFERRED, ASSIGNED OR HYPOTHECATED UNLESS THERE IS AN EFFECTIVE REGISTRATION STATEMENT UNDER SUCH ACT COVERING SUCH SECURITIES, THE TRANSFER IS MADE IN COMPLIANCE WITH RULE 144 PROMULGATED UNDER SUCH ACT OR THE COMPANY RECEIVES AN OPINION OF COUNSEL FOR THE HOLDER OF THESE SECURITIES WHICH IS REASONABLY SATISFACTORY TO THE COMPANY, STATING THAT SUCH SALE, TRANSFER, ASSIGNMENT OR HYPOTHECATION IS EXEMPT FROM THE REGISTRATION AND PROSPECTUS DELIVERY REQUIREMENTS OF SUCH ACT.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3. Representations and Warranties by the Company.</w:t>
      </w:r>
      <w:r>
        <w:rPr>
          <w:rFonts w:ascii="times new roman" w:hAnsi="times new roman"/>
          <w:sz w:val="20"/>
        </w:rPr>
        <w:t xml:space="preserve"> The Company represents and warrants to Participant that: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Due Incorporation</w:t>
      </w:r>
      <w:r>
        <w:rPr>
          <w:rFonts w:ascii="times new roman" w:hAnsi="times new roman"/>
          <w:sz w:val="20"/>
        </w:rPr>
        <w:t>. The Company is a corporation duly incorporated, validly existing and in good standing under the laws of the jurisdiction of its incorporation and has all requisite corporate power and authority to own or lease its properties and assets and to carry on its business as now being conducted. The Company is duly qualified as a foreign entity to do business and is in good standing in each jurisdiction where the nature of the business conducted or property owned by it makes such qualification necessary, other than those jurisdictions in which the failure to so qualify would not have a Material Adverse Effect on the business, operations or financial condition of the Company.</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Capitalization</w:t>
      </w:r>
      <w:r>
        <w:rPr>
          <w:rFonts w:ascii="times new roman" w:hAnsi="times new roman"/>
          <w:sz w:val="20"/>
        </w:rPr>
        <w:t>. The Company is authorized under its Certificate of Formation, as amended, to issue 300,000,000 shares of common stock. The Company’s disclosure of its issued and outstanding capital stock in its most recent SEC Filing containing such information is accurate in all material respects as of the date indicated in such SEC Filing. All of the issued and outstanding shares of the Company’s capital stock have been duly authorized and validly issued and are fully paid and nonassessable; none of such shares were issued in violation of any pre-emptive rights; and such shares were issued in compliance in all material respects with applicable state and federal securities laws and any rights of third parties. No Person is entitled to pre-emptive or similar statutory or contractual rights with respect to the issuance by the Company of any securities of the Company, including, without limitation, the Securities. Except for stock options, warrants, convertible notes and other convertible securities and equity awards described in the SEC Filings, there are no outstanding warrants, options, convertible securities or other rights, agreements or arrangements of any character under which the Company is or may be obligated to issue any equity securities of any kind, except as contemplated by this Agreement. There are no voting agreements, buy-sell agreements, option or right of first purchase agreements or other agreements of any kind among the Company and any of the securityholders of the Company relating to the securities of the Company held by them, except as set forth in the SEC Filings. No Person has the right to require the Company to register any securities of the Company under the Securities Act, whether on a demand basis or in connection with the registration of securities of the Company for its own account or for the account of any other Person, except as set forth in the SEC Filings. The issuance and sale of the Shares hereunder will not obligate the Company to issue shares of common stock or other securities to any other Person and will not result in the adjustment of the exercise, conversion, exchange or reset price of any outstanding security. The Company does not have outstanding stockholder purchase rights or “poison pill” or any similar arrangement in effect giving any Person the right to purchase any equity interest in the Company upon the occurrence of certain events.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Authority; Enforceability</w:t>
      </w:r>
      <w:r>
        <w:rPr>
          <w:rFonts w:ascii="times new roman" w:hAnsi="times new roman"/>
          <w:sz w:val="20"/>
        </w:rPr>
        <w:t>. This Subscription together with the agreements attached hereto or in connection herewith have been duly authorized, executed, and delivered by the Company and are legal, valid and binding agreements, enforceable in accordance with their terms, subject to bankruptcy, insolvency, fraudulent transfer, reorganization, moratorium, and similar laws of general applicability relating to or affecting creditors’ rights generally and to general principles of equity; and the Company has the requisite corporate power and authority and has taken all requisite corporate action necessary for, and except for the Shareholder Approval and the filing of the Information Statement, no further action on the part of the Company, its officers, directors and shareholders is necessary for, (i) the authorization, execution and delivery of this Subscription and the agreements which form an exhibit hereto, (ii) the authorization of the performance of all obligations of the Company hereunder or thereunder, and (iii) the authorization, issuance (or reservation for issuance) and delivery of the Shares or the Conversion Shares, upon conversion of the Shares in accordance with the Certificate.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No General Solicitation</w:t>
      </w:r>
      <w:r>
        <w:rPr>
          <w:rFonts w:ascii="times new roman" w:hAnsi="times new roman"/>
          <w:sz w:val="20"/>
        </w:rPr>
        <w:t>. Neither the Company, nor any of its affiliates, nor to its knowledge, any person acting on its or their behalf, has engaged in any form of general solicitation or general advertising (within the meaning of Regulation D under the Securities Act) in connection with the offer or sale of the Securities.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 </w:t>
      </w:r>
      <w:r>
        <w:rPr>
          <w:rFonts w:ascii="times new roman" w:hAnsi="times new roman"/>
          <w:sz w:val="20"/>
          <w:u w:val="single"/>
        </w:rPr>
        <w:t>Governmental Consents</w:t>
      </w:r>
      <w:r>
        <w:rPr>
          <w:rFonts w:ascii="times new roman" w:hAnsi="times new roman"/>
          <w:sz w:val="20"/>
        </w:rPr>
        <w:t xml:space="preserve">. No consent, approval, order or authorization of, or registration, qualification, designation, declaration or filing with, any federal, state or local governmental authority on the part of the Company is required in connection with the consummation of the transactions contemplated by this Subscription, except for the approval of the NYSE American and the filing of the Information Statement. Subject to the accuracy of the representations and warranties of the Participant set forth in </w:t>
      </w:r>
      <w:r>
        <w:rPr>
          <w:rFonts w:ascii="times new roman" w:hAnsi="times new roman"/>
          <w:sz w:val="20"/>
          <w:u w:val="single"/>
        </w:rPr>
        <w:t>Section 2</w:t>
      </w:r>
      <w:r>
        <w:rPr>
          <w:rFonts w:ascii="times new roman" w:hAnsi="times new roman"/>
          <w:sz w:val="20"/>
        </w:rPr>
        <w:t xml:space="preserve"> hereof, the Company has taken all action necessary to exempt (i) the issuance and sale of the Shares and the Conversion Shares and (ii) the other transactions contemplated by this Subscription, from the provisions of any stockholder rights plan or other “poison pill” arrangement, any anti-takeover, business combination or control share law or statute binding on the Company or to which the Company or any of its assets and properties is subject that is or could reasonably be expected to become applicable to the Participant as a result of the transactions contemplated hereby, including without limitation, the issuance of the Shares or Conversion Shares and the ownership, disposition or voting of the Securities by the Participant or the exercise of any right granted to the Participant pursuant to this Subscription or the other transaction documents relating hereto.</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6</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 </w:t>
      </w:r>
      <w:r>
        <w:rPr>
          <w:rFonts w:ascii="times new roman" w:hAnsi="times new roman"/>
          <w:sz w:val="20"/>
          <w:u w:val="single"/>
        </w:rPr>
        <w:t>No Litigation</w:t>
      </w:r>
      <w:r>
        <w:rPr>
          <w:rFonts w:ascii="times new roman" w:hAnsi="times new roman"/>
          <w:sz w:val="20"/>
        </w:rPr>
        <w:t>. There is no action, suit, proceeding or investigation pending or, to the Company’s knowledge, currently threatened against the Company or any of its subsidiaries that questions the validity of this Subscription or the right of the Company to enter into it, or to consummate the transactions contemplated hereby or thereby, or that might result, either individually or in the aggregate, in any material adverse changes in the assets, condition or affairs of the Company, financially or otherwise, or any change in the current equity ownership of the Company, nor is the Company aware that there is any basis for the foregoing. Neither the Company nor any of its subsidiaries is a party or subject to the provisions of any order, writ, injunction, judgment or decree of any court or government agency or instrumentality. There is no action, suit, proceeding or investigation by the Company or any of its subsidiaries currently pending or which the Company or any of its subsidiaries intends to initiate. The foregoing includes, without limitation, actions, suits, proceedings or investigations pending or threatened in writing (or any basis therefor known to the Company) involving the prior employment of any of the Company’s employees, their use in connection with the Company’s business, or any information or techniques allegedly proprietary to any of their former employers, or their obligations under any agreements with prior employers.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(g) </w:t>
      </w:r>
      <w:r>
        <w:rPr>
          <w:rFonts w:ascii="times new roman" w:hAnsi="times new roman"/>
          <w:sz w:val="20"/>
          <w:u w:val="single"/>
        </w:rPr>
        <w:t>Compliance with Other Instruments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(i) The Company is not in violation or default (and no event has occurred that has not been waived that, with notice or lapse of time or both, would result in a default by the Company), of any provisions of its formation documents, bylaws or of any instrument, judgment, order, writ, decree or contract to which it is a party or by which it is bound or, to its knowledge, of any provision of federal or state statute, rule or regulation applicable to the Company, nor has the Company received written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The execution, delivery and performance of this Subscription, and the consummation of the transactions contemplated hereby will not result in any such violation or be in conflict with or constitute, with or without the passage of time and giving of notice, either a breach or default under any such provision, instrument, judgment, order, writ, decree or contract or an event which results in the creation of any lien, charge or encumbrance upon any assets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(ii) To its knowledge, the Company has avoided every condition, and has not performed any act, the occurrence of which would result in the Company’s loss of any right granted under any license, distribution agreement or other agreement.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(h) </w:t>
      </w:r>
      <w:r>
        <w:rPr>
          <w:rFonts w:ascii="times new roman" w:hAnsi="times new roman"/>
          <w:sz w:val="20"/>
          <w:u w:val="single"/>
        </w:rPr>
        <w:t>Tax Returns and Payments</w:t>
      </w:r>
      <w:r>
        <w:rPr>
          <w:rFonts w:ascii="times new roman" w:hAnsi="times new roman"/>
          <w:sz w:val="20"/>
        </w:rPr>
        <w:t>. The Company has filed all material tax returns and reports as required by law. These returns and reports are true and correct in all material respects. The Company has paid all material taxes and other assessments due.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7</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 </w:t>
      </w:r>
      <w:r>
        <w:rPr>
          <w:rFonts w:ascii="times new roman" w:hAnsi="times new roman"/>
          <w:sz w:val="20"/>
          <w:u w:val="single"/>
        </w:rPr>
        <w:t>Permits</w:t>
      </w:r>
      <w:r>
        <w:rPr>
          <w:rFonts w:ascii="times new roman" w:hAnsi="times new roman"/>
          <w:sz w:val="20"/>
        </w:rPr>
        <w:t>. The Company and each of its subsidiaries has all franchises, permits, licenses and any similar authority necessary for the conduct of its business, the lack of which could materially and adversely affect the business, properties, prospects, or financial condition of the Company. The Company is not in default in any material respect under any of such franchises, permits, licenses or other similar authority.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(j) </w:t>
      </w:r>
      <w:r>
        <w:rPr>
          <w:rFonts w:ascii="times new roman" w:hAnsi="times new roman"/>
          <w:sz w:val="20"/>
          <w:u w:val="single"/>
        </w:rPr>
        <w:t>Offering Valid</w:t>
      </w:r>
      <w:r>
        <w:rPr>
          <w:rFonts w:ascii="times new roman" w:hAnsi="times new roman"/>
          <w:sz w:val="20"/>
        </w:rPr>
        <w:t xml:space="preserve">. Assuming the accuracy of the representations and warranties of Participant contained in </w:t>
      </w:r>
      <w:r>
        <w:rPr>
          <w:rFonts w:ascii="times new roman" w:hAnsi="times new roman"/>
          <w:sz w:val="20"/>
          <w:u w:val="single"/>
        </w:rPr>
        <w:t>Section 2</w:t>
      </w:r>
      <w:r>
        <w:rPr>
          <w:rFonts w:ascii="times new roman" w:hAnsi="times new roman"/>
          <w:sz w:val="20"/>
        </w:rPr>
        <w:t xml:space="preserve"> hereof, the offer, sale and issuance of the Securities will be exempt from the registration requirements of the Securities Act, and are exempt from registration and qualification under the registration, permit or qualification requirements of all applicable state securities laws. Neither the Company nor any agent on its behalf has solicited or will solicit any offers to sell or has offered to sell or will offer to sell all or any part of the Shares to any person or persons so as to bring the sale of such Shares by the Company within the registration provisions of the Securities Act or any state securities laws. Subject to receipt of the NYSE American Approval, at or prior to Closing the issuance and sale of the Securities does not contravene the rules and regulations of the NYSE American.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(k) </w:t>
      </w:r>
      <w:r>
        <w:rPr>
          <w:rFonts w:ascii="times new roman" w:hAnsi="times new roman"/>
          <w:sz w:val="20"/>
          <w:u w:val="single"/>
        </w:rPr>
        <w:t>Valid Issuance</w:t>
      </w:r>
      <w:r>
        <w:rPr>
          <w:rFonts w:ascii="times new roman" w:hAnsi="times new roman"/>
          <w:sz w:val="20"/>
        </w:rPr>
        <w:t>. The Shares have been duly and validly authorized and, when issued and paid for pursuant to this Subscription, and the Conversion Shares have been reserved for issuance, and when issued in accordance with the Certificate, will be validly issued, fully paid and nonassessable, and shall be free and clear of all encumbrances and restrictions (other than those created by the Participant), except for restrictions on transfer set forth in the transaction documents or imposed by applicable securities laws.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sz w:val="20"/>
        </w:rPr>
        <w:t xml:space="preserve">(l) </w:t>
      </w:r>
      <w:r>
        <w:rPr>
          <w:rFonts w:ascii="times new roman" w:hAnsi="times new roman"/>
          <w:sz w:val="20"/>
          <w:u w:val="single"/>
        </w:rPr>
        <w:t>SEC Filings</w:t>
      </w:r>
      <w:r>
        <w:rPr>
          <w:rFonts w:ascii="times new roman" w:hAnsi="times new roman"/>
          <w:sz w:val="20"/>
        </w:rPr>
        <w:t>. The Company has filed all reports, schedules, forms, statements and other documents required to be filed by the Company as of the date of this Agreement, under the Securities Act and the Exchange Act, including pursuant to Section 13(a) or 15(d) thereof, for the one year preceding the date hereof (collectively, the “</w:t>
      </w:r>
      <w:r>
        <w:rPr>
          <w:rStyle w:val="StrongEmphasis"/>
          <w:rFonts w:ascii="times new roman" w:hAnsi="times new roman"/>
          <w:sz w:val="20"/>
          <w:u w:val="single"/>
        </w:rPr>
        <w:t>SEC Filings</w:t>
      </w:r>
      <w:r>
        <w:rPr>
          <w:rFonts w:ascii="times new roman" w:hAnsi="times new roman"/>
          <w:sz w:val="20"/>
        </w:rPr>
        <w:t>”). At the time of filing thereof, the SEC Filings complied in all material respects with the requirements of the Securities Act or the Exchange Act, as applicable, and the rules and regulations of the SEC thereunder. All material agreements to which the Company is a party or to which the property or assets of the Company is subject are included as part of or identified in the SEC Filings, to the extent such agreements are required to be included or identified pursuant to the rules and regulations of the SEC.</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sz w:val="20"/>
        </w:rPr>
        <w:t xml:space="preserve">(m) </w:t>
      </w:r>
      <w:r>
        <w:rPr>
          <w:rFonts w:ascii="times new roman" w:hAnsi="times new roman"/>
          <w:sz w:val="20"/>
          <w:u w:val="single"/>
        </w:rPr>
        <w:t>Financial Statements</w:t>
      </w:r>
      <w:r>
        <w:rPr>
          <w:rFonts w:ascii="times new roman" w:hAnsi="times new roman"/>
          <w:sz w:val="20"/>
        </w:rPr>
        <w:t>. The financial statements included in each SEC Filing comply in all material respects with applicable accounting requirements and the rules and regulations of the SEC with respect thereto as in effect at the time of filing (or to the extent corrected by a subsequent restatement) and present fairly, in all material respects, the consolidated financial position of the Company as of the dates shown and its consolidated results of operations and cash flows for the periods shown, subject in the case of unaudited financial statements to normal, immaterial year-end audit adjustments, and such consolidated financial statements have been prepared in conformity with United States generally accepted accounting principles applied on a consistent basis during the periods involved (“</w:t>
      </w:r>
      <w:r>
        <w:rPr>
          <w:rStyle w:val="StrongEmphasis"/>
          <w:rFonts w:ascii="times new roman" w:hAnsi="times new roman"/>
          <w:sz w:val="20"/>
          <w:u w:val="single"/>
        </w:rPr>
        <w:t>GAAP</w:t>
      </w:r>
      <w:r>
        <w:rPr>
          <w:rFonts w:ascii="times new roman" w:hAnsi="times new roman"/>
          <w:sz w:val="20"/>
        </w:rPr>
        <w:t>”) (except as may be disclosed therein or in the notes thereto, and except that the unaudited financial statements may not contain all footnotes required by GAAP, and, in the case of quarterly financial statements, except as permitted by Form 10-Q under the Exchange Act). Except as set forth in the financial statements of the Company included in the SEC Filings filed prior to the date hereof,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8</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(n) </w:t>
      </w:r>
      <w:r>
        <w:rPr>
          <w:rFonts w:ascii="times new roman" w:hAnsi="times new roman"/>
          <w:sz w:val="20"/>
          <w:u w:val="single"/>
        </w:rPr>
        <w:t>Title to Properties</w:t>
      </w:r>
      <w:r>
        <w:rPr>
          <w:rFonts w:ascii="times new roman" w:hAnsi="times new roman"/>
          <w:sz w:val="20"/>
        </w:rPr>
        <w:t>. The Company and its subsidiaries have good and marketable title to all real properties and all other properties and assets owned by them, in each case free from liens, encumbrances and defects, except such as would not reasonably be expected, individually or in the aggregate, to have a Material Adverse Effect; and the Company and its subsidiaries hold any leased real or personal property under valid and enforceable leases with no exceptions, except such as would not reasonably be expected, individually or in the aggregate, to have a Material Adverse Effect.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 </w:t>
      </w:r>
      <w:r>
        <w:rPr>
          <w:rFonts w:ascii="times new roman" w:hAnsi="times new roman"/>
          <w:sz w:val="20"/>
          <w:u w:val="single"/>
        </w:rPr>
        <w:t>Brokers and Finders</w:t>
      </w:r>
      <w:r>
        <w:rPr>
          <w:rFonts w:ascii="times new roman" w:hAnsi="times new roman"/>
          <w:sz w:val="20"/>
        </w:rPr>
        <w:t>. No Person will have, as a result of the transactions contemplated by this Subscription, any valid right, interest or claim against or upon the Company or Participant for any commission, fee or other compensation pursuant to any agreement, arrangement or understanding entered into by or on behalf of the Company. No Participant shall have any obligation with respect to any fees, or with respect to any claims made by or on behalf of other Persons for fees, in each case of the type contemplated by this paragraph that may be due in connection with the transactions contemplated by this Subscription.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 </w:t>
      </w:r>
      <w:r>
        <w:rPr>
          <w:rFonts w:ascii="times new roman" w:hAnsi="times new roman"/>
          <w:sz w:val="20"/>
          <w:u w:val="single"/>
        </w:rPr>
        <w:t>Transactions with Affiliates</w:t>
      </w:r>
      <w:r>
        <w:rPr>
          <w:rFonts w:ascii="times new roman" w:hAnsi="times new roman"/>
          <w:sz w:val="20"/>
        </w:rPr>
        <w:t>. Except as disclosed in the SEC Filings, and participation in this Offering, none of the executive officers or directors of the Company and, to the Company’s knowledge, none of the employees of the Company is presently a party to any material transaction with the Company (other than as holders of stock options, and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Company’s knowledge, any entity in which any officer, director, or any such employee has a substantial interest or is an officer, director, trustee or partner.</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(q) </w:t>
      </w:r>
      <w:r>
        <w:rPr>
          <w:rFonts w:ascii="times new roman" w:hAnsi="times new roman"/>
          <w:sz w:val="20"/>
          <w:u w:val="single"/>
        </w:rPr>
        <w:t>Disclosures</w:t>
      </w:r>
      <w:r>
        <w:rPr>
          <w:rFonts w:ascii="times new roman" w:hAnsi="times new roman"/>
          <w:sz w:val="20"/>
        </w:rPr>
        <w:t>. Neither the Company nor any Person acting on its behalf has provided the Participant or their agents or counsel with any information that constitutes or would reasonably be expected to constitute material, non-public information concerning the Company or its subsidiaries, other than with respect to the transactions contemplated hereby and in connection with the Merger, which will be disclosed in a Current Report on Form 8-K within four business days of the Closing. The SEC Filings do not contain any untrue statement of a material fact or omit to state a material fact necessary in order to make the statements contained therein, in light of the circumstances under which they were made, not misleading. The Company understands and confirms that the Participant will rely on the foregoing representations in effecting transactions in securities of the Company.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 </w:t>
      </w:r>
      <w:r>
        <w:rPr>
          <w:rFonts w:ascii="times new roman" w:hAnsi="times new roman"/>
          <w:sz w:val="20"/>
          <w:u w:val="single"/>
        </w:rPr>
        <w:t>Required Filings</w:t>
      </w:r>
      <w:r>
        <w:rPr>
          <w:rFonts w:ascii="times new roman" w:hAnsi="times new roman"/>
          <w:sz w:val="20"/>
        </w:rPr>
        <w:t>. Except for the transactions contemplated by this Subscription, including the acquisition of the Securities contemplated hereby, no event or circumstance has occurred or information exists with respect to the Company or its business, properties, operations or financial condition, which, under applicable law, rule or regulation, currently requires public disclosure or announcement by the Company but which has not been so publicly announced or disclosed.</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(s) </w:t>
      </w:r>
      <w:r>
        <w:rPr>
          <w:rFonts w:ascii="times new roman" w:hAnsi="times new roman"/>
          <w:sz w:val="20"/>
          <w:u w:val="single"/>
        </w:rPr>
        <w:t>Manipulation of Price</w:t>
      </w:r>
      <w:r>
        <w:rPr>
          <w:rFonts w:ascii="times new roman" w:hAnsi="times new roman"/>
          <w:sz w:val="20"/>
        </w:rPr>
        <w:t>. The Company has not, and, to the Company’s knowledge, no Person acting on its behalf has taken, directly or indirectly, any action designed to cause or to result in the stabilization or manipulation of the price of any security of the Company to facilitate the sale or resale of any of the Securities.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9</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 </w:t>
      </w:r>
      <w:r>
        <w:rPr>
          <w:rFonts w:ascii="times new roman" w:hAnsi="times new roman"/>
          <w:sz w:val="20"/>
          <w:u w:val="single"/>
        </w:rPr>
        <w:t>Non-Hindrance</w:t>
      </w:r>
      <w:r>
        <w:rPr>
          <w:rFonts w:ascii="times new roman" w:hAnsi="times new roman"/>
          <w:sz w:val="20"/>
        </w:rPr>
        <w:t>. The Company undertakes not to hinder by any means the removal of the restrictive legend from the shares certificate provided that the Participant sells the shares to a third party meeting all the requirements set by the applicable law.</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sz w:val="20"/>
        </w:rPr>
        <w:t xml:space="preserve">(u) </w:t>
      </w:r>
      <w:r>
        <w:rPr>
          <w:rFonts w:ascii="times new roman" w:hAnsi="times new roman"/>
          <w:sz w:val="20"/>
          <w:u w:val="single"/>
        </w:rPr>
        <w:t>Continued Periodic Report Filings</w:t>
      </w:r>
      <w:r>
        <w:rPr>
          <w:rFonts w:ascii="times new roman" w:hAnsi="times new roman"/>
          <w:sz w:val="20"/>
        </w:rPr>
        <w:t>. With a view to making available to Participant the benefits of Rule 144 promulgated under the Securities Act, the Company shall, for a period of not less than 18 months following the Closing, file with the Securities and Exchange Commission (the “</w:t>
      </w:r>
      <w:r>
        <w:rPr>
          <w:rStyle w:val="StrongEmphasis"/>
          <w:rFonts w:ascii="times new roman" w:hAnsi="times new roman"/>
          <w:sz w:val="20"/>
        </w:rPr>
        <w:t>Commission</w:t>
      </w:r>
      <w:r>
        <w:rPr>
          <w:rFonts w:ascii="times new roman" w:hAnsi="times new roman"/>
          <w:sz w:val="20"/>
        </w:rPr>
        <w:t>”) in a timely manner all reports and other documents required of the Company under Rule 144(c) and provide to Participant, upon reasonable request: (i) a written statement by the Company that it has complied with the current information requirements of Rule 144(c); and (ii) such other information as may be reasonably requested to avail Participant of any rule or regulation of the Commission that permits the selling of any such securities without registration.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(v) </w:t>
      </w:r>
      <w:r>
        <w:rPr>
          <w:rFonts w:ascii="times new roman" w:hAnsi="times new roman"/>
          <w:sz w:val="20"/>
          <w:u w:val="single"/>
        </w:rPr>
        <w:t>Legend Removal</w:t>
      </w:r>
      <w:r>
        <w:rPr>
          <w:rFonts w:ascii="times new roman" w:hAnsi="times new roman"/>
          <w:sz w:val="20"/>
        </w:rPr>
        <w:t>. The Company covenants and agrees that it will use commercially reasonable efforts to assist the Participant with the removal of the restrictive legend from the shares certificate following the applicable holding period under applicable law, provided that the Participant sells the shares in an open market transaction, to a third party, meeting all the requirements set by the applicable law.</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4. Agreement to Indemnify.</w:t>
      </w:r>
      <w:r>
        <w:rPr>
          <w:rFonts w:ascii="times new roman" w:hAnsi="times new roman"/>
          <w:sz w:val="20"/>
        </w:rPr>
        <w:t xml:space="preserve"> The Company agrees to indemnify and hold harmless each Participant and its Affiliates, and their respective directors, officers, members, managers, employees, and agents,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this Subscription, and will reimburse any such Person for all such amounts as they are incurred by such Person solely to the extent such amounts have been finally judicially determined not to have resulted from such Person’s fraud or willful misconduct.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5. Subscription Binding on Heirs, etc.</w:t>
      </w:r>
      <w:r>
        <w:rPr>
          <w:rFonts w:ascii="times new roman" w:hAnsi="times new roman"/>
          <w:sz w:val="20"/>
        </w:rPr>
        <w:t xml:space="preserve"> This Subscription, upon acceptance by the Company, shall be binding upon the heirs, executors, administrators, successors and assigns of the Participant. If the undersigned is more than one person, the obligations of the undersigned shall be joint and several and the representations and warranties shall be deemed to be made by and be binding on each such person and his or her heirs, executors, administrators, successors, and assigns.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6. Execution Authorized.</w:t>
      </w:r>
      <w:r>
        <w:rPr>
          <w:rFonts w:ascii="times new roman" w:hAnsi="times new roman"/>
          <w:sz w:val="20"/>
        </w:rPr>
        <w:t xml:space="preserve"> If this Subscription is executed on behalf of a corporation, partnership, trust or other entity, the undersigned has been duly authorized and empowered to legally represent such entity and to execute this Subscription and all other instruments in connection with the Securities and the signature of the person is binding upon such entity.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7. Governing Law.</w:t>
      </w:r>
      <w:r>
        <w:rPr>
          <w:rFonts w:ascii="times new roman" w:hAnsi="times new roman"/>
          <w:sz w:val="20"/>
        </w:rPr>
        <w:t xml:space="preserve"> This Subscription shall be construed in accordance with the laws of the State of Texas.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8. Dispute Resolution.</w:t>
      </w:r>
      <w:r>
        <w:rPr>
          <w:rFonts w:ascii="times new roman" w:hAnsi="times new roman"/>
          <w:sz w:val="20"/>
        </w:rPr>
        <w:t xml:space="preserve"> In the event of any dispute arising out of or relating to this Subscription, then such dispute shall be submitted to binding arbitration with the Houston, Texas branch of the American Arbitration Association (“</w:t>
      </w:r>
      <w:r>
        <w:rPr>
          <w:rStyle w:val="StrongEmphasis"/>
          <w:rFonts w:ascii="times new roman" w:hAnsi="times new roman"/>
          <w:sz w:val="20"/>
          <w:u w:val="single"/>
        </w:rPr>
        <w:t>AAA</w:t>
      </w:r>
      <w:r>
        <w:rPr>
          <w:rFonts w:ascii="times new roman" w:hAnsi="times new roman"/>
          <w:sz w:val="20"/>
        </w:rPr>
        <w:t>”) to be governed by AAA’s Commercial Rules of Arbitration (the “</w:t>
      </w:r>
      <w:r>
        <w:rPr>
          <w:rStyle w:val="StrongEmphasis"/>
          <w:rFonts w:ascii="times new roman" w:hAnsi="times new roman"/>
          <w:sz w:val="20"/>
          <w:u w:val="single"/>
        </w:rPr>
        <w:t>AAA Rules</w:t>
      </w:r>
      <w:r>
        <w:rPr>
          <w:rFonts w:ascii="times new roman" w:hAnsi="times new roman"/>
          <w:sz w:val="20"/>
        </w:rPr>
        <w:t>”) and heard before one arbitrator. The parties shall attempt to mutually select the arbitrator. In the event they are unable to mutually agree, the arbitrator shall be selected by the procedures prescribed by the AAA Rules. Notwithstanding anything in the AAA Rules to the contrary, discovery shall be limited exclusively to the mutual production of documents, and written submissions to the arbitrator shall be limited to one brief from each party and one responsive brief from each party.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ind w:left="0" w:right="0" w:hanging="0"/>
              <w:jc w:val="left"/>
              <w:rPr/>
            </w:pPr>
            <w:r>
              <w:rPr/>
              <w:t> </w:t>
            </w:r>
          </w:p>
        </w:tc>
      </w:tr>
      <w:tr>
        <w:trPr/>
        <w:tc>
          <w:tcPr>
            <w:tcW w:w="350" w:type="dxa"/>
            <w:tcBorders>
              <w:bottom w:val="single" w:sz="2" w:space="0" w:color="000000"/>
            </w:tcBorders>
            <w:tcMar>
              <w:bottom w:w="28" w:type="dxa"/>
            </w:tcMar>
            <w:vAlign w:val="center"/>
          </w:tcPr>
          <w:p>
            <w:pPr>
              <w:pStyle w:val="TableContents"/>
              <w:bidi w:val="0"/>
              <w:spacing w:before="0" w:after="283"/>
              <w:jc w:val="center"/>
              <w:rPr/>
            </w:pPr>
            <w:r>
              <w:rPr/>
              <w:t>10</w:t>
            </w:r>
          </w:p>
        </w:tc>
      </w:tr>
      <w:tr>
        <w:trPr/>
        <w:tc>
          <w:tcPr>
            <w:tcW w:w="350" w:type="dxa"/>
            <w:tcBorders/>
            <w:vAlign w:val="center"/>
          </w:tcPr>
          <w:p>
            <w:pPr>
              <w:pStyle w:val="TableContents"/>
              <w:bidi w:val="0"/>
              <w:spacing w:before="0" w:after="283"/>
              <w:jc w:val="left"/>
              <w:rPr>
                <w:sz w:val="4"/>
                <w:szCs w:val="4"/>
              </w:rPr>
            </w:pPr>
            <w:r>
              <w:rPr>
                <w:sz w:val="4"/>
                <w:szCs w:val="4"/>
              </w:rPr>
            </w:r>
          </w:p>
        </w:tc>
      </w:tr>
      <w:tr>
        <w:trPr/>
        <w:tc>
          <w:tcPr>
            <w:tcW w:w="3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9. Further Assurances</w:t>
      </w:r>
      <w:r>
        <w:rPr>
          <w:rFonts w:ascii="times new roman" w:hAnsi="times new roman"/>
          <w:sz w:val="20"/>
        </w:rPr>
        <w:t>. The Company and Participant hereby covenant that they will, whenever and as reasonably requested by the other party, do, execute, acknowledge and deliver any and all such other and further acts, deeds, confirmations, and any instruments of further assurance, approvals and consents as may reasonably be requested in order to complete, insure and perfect the transactions contemplated herein.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10. Commercially Reasonable Efforts</w:t>
      </w:r>
      <w:r>
        <w:rPr>
          <w:rFonts w:ascii="times new roman" w:hAnsi="times new roman"/>
          <w:sz w:val="20"/>
        </w:rPr>
        <w:t>. The Company shall use commercially reasonable efforts to cause the conversion of the Shares into common stock of the Company as set forth in the Certificate to occur as promptly as practicable after the date hereof. No party shall intentionally perform or fail to perform any act that, if performed or omitted to be performed, would prevent or excuse the performance of this Agreement or any of the transactions contemplated hereby.</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11. Severability</w:t>
      </w:r>
      <w:r>
        <w:rPr>
          <w:rFonts w:ascii="times new roman" w:hAnsi="times new roman"/>
          <w:sz w:val="20"/>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shall negotiate in good faith to modify this Agreement so as to affect the original intent of the parties as closely as possible in an acceptable manner to the end that transactions contemplated hereby are fulfilled to the extent possible.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12. Entire Agreement, Amendments and Waivers</w:t>
      </w:r>
      <w:r>
        <w:rPr>
          <w:rFonts w:ascii="times new roman" w:hAnsi="times new roman"/>
          <w:sz w:val="20"/>
        </w:rPr>
        <w:t>. This Agreement constitutes the entire agreement of the parties regarding the subject matter of the Agreement and expressly supersedes all prior and contemporaneous understandings and commitments, whether written or oral, with respect to the subject matter hereof. No variations, modifications, changes or extensions of this Agreement or any other terms hereof shall be binding upon any party hereto unless set forth in a document duly executed by such party or an authorized agent of such party.</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13. Extended Meanings</w:t>
      </w:r>
      <w:r>
        <w:rPr>
          <w:rFonts w:ascii="times new roman" w:hAnsi="times new roman"/>
          <w:sz w:val="20"/>
        </w:rPr>
        <w:t>. In this Agreement words importing the singular number include the plural and vice versa; words importing the masculine gender include the feminine and neuter genders.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14. Counterparts, Effect of Facsimile, Emailed and Photocopied Signatures</w:t>
      </w:r>
      <w:r>
        <w:rPr>
          <w:rFonts w:ascii="times new roman" w:hAnsi="times new roman"/>
          <w:sz w:val="20"/>
        </w:rPr>
        <w:t>. This Agreement and any signed agreement or instrument entered into in connection with this Agreement, and any amendments hereto or thereto, may be executed in one or more counterparts, all of which shall constitute one and the same instrument. Any such counterpart, to the extent delivered by means of a facsimile machine or by .pdf, .tif, .gif, .jpg or similar attachment to electronic mail (any such delivery, an “</w:t>
      </w:r>
      <w:r>
        <w:rPr>
          <w:rStyle w:val="StrongEmphasis"/>
          <w:rFonts w:ascii="times new roman" w:hAnsi="times new roman"/>
          <w:sz w:val="20"/>
          <w:u w:val="single"/>
        </w:rPr>
        <w:t>Electronic Delivery</w:t>
      </w:r>
      <w:r>
        <w:rPr>
          <w:rFonts w:ascii="times new roman" w:hAnsi="times new roman"/>
          <w:sz w:val="20"/>
        </w:rPr>
        <w:t>”) shall be treated in all manner and respects as an original executed counterpart and shall be considered to have the same binding legal effect as if it were the original signed version thereof delivered in person. At the request of any party, each other party shall re execute the original form of this Agreement and deliver such form to all other parties. No party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15. Registration Rights</w:t>
      </w:r>
      <w:r>
        <w:rPr>
          <w:rFonts w:ascii="times new roman" w:hAnsi="times new roman"/>
          <w:sz w:val="20"/>
        </w:rPr>
        <w:t>. The Company and Participant covenant and agree that Participant shall have the rights, and be subject to the obligations, of a Holder (as defined therein) set forth in in Article V of that certain Shareholder Agreement, dated on or about the date hereof (the “</w:t>
      </w:r>
      <w:r>
        <w:rPr>
          <w:rStyle w:val="StrongEmphasis"/>
          <w:rFonts w:ascii="times new roman" w:hAnsi="times new roman"/>
          <w:sz w:val="20"/>
          <w:u w:val="single"/>
        </w:rPr>
        <w:t>Shareholder Agreement</w:t>
      </w:r>
      <w:r>
        <w:rPr>
          <w:rFonts w:ascii="times new roman" w:hAnsi="times new roman"/>
          <w:sz w:val="20"/>
        </w:rPr>
        <w:t>”), by and among the Company and certain other Participants, notwithstanding the fact that Participant is not a party to the Shareholder Agreement.</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[Remainder of page left intentionally blank. Signature pages follow.]</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ind w:left="0" w:right="0" w:hanging="0"/>
              <w:jc w:val="left"/>
              <w:rPr/>
            </w:pPr>
            <w:r>
              <w:rPr/>
              <w:t> </w:t>
            </w:r>
          </w:p>
        </w:tc>
      </w:tr>
      <w:tr>
        <w:trPr/>
        <w:tc>
          <w:tcPr>
            <w:tcW w:w="350" w:type="dxa"/>
            <w:tcBorders>
              <w:bottom w:val="single" w:sz="2" w:space="0" w:color="000000"/>
            </w:tcBorders>
            <w:tcMar>
              <w:bottom w:w="28" w:type="dxa"/>
            </w:tcMar>
            <w:vAlign w:val="center"/>
          </w:tcPr>
          <w:p>
            <w:pPr>
              <w:pStyle w:val="TableContents"/>
              <w:bidi w:val="0"/>
              <w:spacing w:before="0" w:after="283"/>
              <w:jc w:val="center"/>
              <w:rPr/>
            </w:pPr>
            <w:r>
              <w:rPr/>
              <w:t>11</w:t>
            </w:r>
          </w:p>
        </w:tc>
      </w:tr>
      <w:tr>
        <w:trPr/>
        <w:tc>
          <w:tcPr>
            <w:tcW w:w="350" w:type="dxa"/>
            <w:tcBorders/>
            <w:vAlign w:val="center"/>
          </w:tcPr>
          <w:p>
            <w:pPr>
              <w:pStyle w:val="TableContents"/>
              <w:bidi w:val="0"/>
              <w:spacing w:before="0" w:after="283"/>
              <w:jc w:val="left"/>
              <w:rPr>
                <w:sz w:val="4"/>
                <w:szCs w:val="4"/>
              </w:rPr>
            </w:pPr>
            <w:r>
              <w:rPr>
                <w:sz w:val="4"/>
                <w:szCs w:val="4"/>
              </w:rPr>
            </w:r>
          </w:p>
        </w:tc>
      </w:tr>
      <w:tr>
        <w:trPr/>
        <w:tc>
          <w:tcPr>
            <w:tcW w:w="3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Subject to acceptance by the Company, the undersigned have completed this Subscription Agreement to evidence his/her/its subscription for the purchase of Shares of the Company on October __, 2025.</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PARTICIPANT:</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___________________________________________________________________</w:t>
      </w:r>
    </w:p>
    <w:p>
      <w:pPr>
        <w:pStyle w:val="TextBody"/>
        <w:bidi w:val="0"/>
        <w:spacing w:before="0" w:after="0"/>
        <w:ind w:left="0" w:right="0" w:hanging="0"/>
        <w:jc w:val="left"/>
        <w:rPr/>
      </w:pPr>
      <w:r>
        <w:rPr>
          <w:rStyle w:val="StrongEmphasis"/>
          <w:rFonts w:ascii="times new roman" w:hAnsi="times new roman"/>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Name: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Title: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Tax Identification No.:</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Jurisdiction of Organization: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State of Principal Place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Investment Amount (# of Shares):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Purchase Price Paid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Address for Notice: Delivery Instructions (if different from above):</w:t>
      </w:r>
    </w:p>
    <w:p>
      <w:pPr>
        <w:pStyle w:val="TextBody"/>
        <w:bidi w:val="0"/>
        <w:spacing w:before="0" w:after="0"/>
        <w:ind w:left="0" w:right="0" w:hanging="0"/>
        <w:jc w:val="left"/>
        <w:rPr/>
      </w:pPr>
      <w:r>
        <w:rPr/>
        <w:t> </w:t>
      </w:r>
    </w:p>
    <w:tbl>
      <w:tblPr>
        <w:tblW w:w="1873" w:type="dxa"/>
        <w:jc w:val="left"/>
        <w:tblInd w:w="0" w:type="dxa"/>
        <w:tblLayout w:type="fixed"/>
        <w:tblCellMar>
          <w:top w:w="0" w:type="dxa"/>
          <w:left w:w="0" w:type="dxa"/>
          <w:bottom w:w="0" w:type="dxa"/>
          <w:right w:w="0" w:type="dxa"/>
        </w:tblCellMar>
      </w:tblPr>
      <w:tblGrid>
        <w:gridCol w:w="1577"/>
        <w:gridCol w:w="92"/>
        <w:gridCol w:w="53"/>
        <w:gridCol w:w="53"/>
        <w:gridCol w:w="98"/>
      </w:tblGrid>
      <w:tr>
        <w:trPr/>
        <w:tc>
          <w:tcPr>
            <w:tcW w:w="1669"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Address for Notice: </w:t>
            </w:r>
          </w:p>
        </w:tc>
        <w:tc>
          <w:tcPr>
            <w:tcW w:w="53" w:type="dxa"/>
            <w:tcBorders/>
            <w:vAlign w:val="center"/>
          </w:tcPr>
          <w:p>
            <w:pPr>
              <w:pStyle w:val="TableContents"/>
              <w:bidi w:val="0"/>
              <w:spacing w:before="0" w:after="283"/>
              <w:jc w:val="left"/>
              <w:rPr>
                <w:sz w:val="4"/>
                <w:szCs w:val="4"/>
              </w:rPr>
            </w:pPr>
            <w:r>
              <w:rPr>
                <w:sz w:val="4"/>
                <w:szCs w:val="4"/>
              </w:rPr>
            </w:r>
          </w:p>
        </w:tc>
        <w:tc>
          <w:tcPr>
            <w:tcW w:w="151" w:type="dxa"/>
            <w:gridSpan w:val="2"/>
            <w:tcBorders/>
            <w:vAlign w:val="center"/>
          </w:tcPr>
          <w:p>
            <w:pPr>
              <w:pStyle w:val="TableContents"/>
              <w:bidi w:val="0"/>
              <w:spacing w:before="0" w:after="283"/>
              <w:jc w:val="left"/>
              <w:rPr>
                <w:sz w:val="4"/>
                <w:szCs w:val="4"/>
              </w:rPr>
            </w:pPr>
            <w:r>
              <w:rPr>
                <w:sz w:val="4"/>
                <w:szCs w:val="4"/>
              </w:rPr>
            </w:r>
          </w:p>
        </w:tc>
      </w:tr>
      <w:tr>
        <w:trPr/>
        <w:tc>
          <w:tcPr>
            <w:tcW w:w="157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Attention:</w:t>
            </w:r>
          </w:p>
        </w:tc>
        <w:tc>
          <w:tcPr>
            <w:tcW w:w="9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157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Email:</w:t>
            </w:r>
          </w:p>
        </w:tc>
        <w:tc>
          <w:tcPr>
            <w:tcW w:w="9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ind w:left="0" w:right="0" w:hanging="0"/>
              <w:jc w:val="left"/>
              <w:rPr/>
            </w:pPr>
            <w:r>
              <w:rPr/>
              <w:t> </w:t>
            </w:r>
          </w:p>
        </w:tc>
      </w:tr>
      <w:tr>
        <w:trPr/>
        <w:tc>
          <w:tcPr>
            <w:tcW w:w="350" w:type="dxa"/>
            <w:tcBorders>
              <w:bottom w:val="single" w:sz="2" w:space="0" w:color="000000"/>
            </w:tcBorders>
            <w:tcMar>
              <w:bottom w:w="28" w:type="dxa"/>
            </w:tcMar>
            <w:vAlign w:val="center"/>
          </w:tcPr>
          <w:p>
            <w:pPr>
              <w:pStyle w:val="TableContents"/>
              <w:bidi w:val="0"/>
              <w:spacing w:before="0" w:after="283"/>
              <w:jc w:val="center"/>
              <w:rPr/>
            </w:pPr>
            <w:r>
              <w:rPr/>
              <w:t>12</w:t>
            </w:r>
          </w:p>
        </w:tc>
      </w:tr>
      <w:tr>
        <w:trPr/>
        <w:tc>
          <w:tcPr>
            <w:tcW w:w="350" w:type="dxa"/>
            <w:tcBorders/>
            <w:vAlign w:val="center"/>
          </w:tcPr>
          <w:p>
            <w:pPr>
              <w:pStyle w:val="TableContents"/>
              <w:bidi w:val="0"/>
              <w:spacing w:before="0" w:after="283"/>
              <w:jc w:val="left"/>
              <w:rPr>
                <w:sz w:val="4"/>
                <w:szCs w:val="4"/>
              </w:rPr>
            </w:pPr>
            <w:r>
              <w:rPr>
                <w:sz w:val="4"/>
                <w:szCs w:val="4"/>
              </w:rPr>
            </w:r>
          </w:p>
        </w:tc>
      </w:tr>
      <w:tr>
        <w:trPr/>
        <w:tc>
          <w:tcPr>
            <w:tcW w:w="3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has accepted this subscription this October __, 2025</w:t>
      </w:r>
    </w:p>
    <w:p>
      <w:pPr>
        <w:pStyle w:val="TextBody"/>
        <w:bidi w:val="0"/>
        <w:spacing w:before="0" w:after="0"/>
        <w:ind w:left="0" w:right="0" w:hanging="0"/>
        <w:jc w:val="both"/>
        <w:rPr/>
      </w:pPr>
      <w:r>
        <w:rPr/>
        <w:t> </w:t>
      </w:r>
    </w:p>
    <w:tbl>
      <w:tblPr>
        <w:tblW w:w="4309" w:type="dxa"/>
        <w:jc w:val="left"/>
        <w:tblInd w:w="0" w:type="dxa"/>
        <w:tblLayout w:type="fixed"/>
        <w:tblCellMar>
          <w:top w:w="0" w:type="dxa"/>
          <w:left w:w="0" w:type="dxa"/>
          <w:bottom w:w="0" w:type="dxa"/>
          <w:right w:w="0" w:type="dxa"/>
        </w:tblCellMar>
      </w:tblPr>
      <w:tblGrid>
        <w:gridCol w:w="105"/>
        <w:gridCol w:w="646"/>
        <w:gridCol w:w="3423"/>
        <w:gridCol w:w="135"/>
      </w:tblGrid>
      <w:tr>
        <w:trPr/>
        <w:tc>
          <w:tcPr>
            <w:tcW w:w="105"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0"/>
              <w:ind w:left="0" w:right="0" w:hanging="0"/>
              <w:jc w:val="left"/>
              <w:rPr/>
            </w:pPr>
            <w:r>
              <w:rPr>
                <w:rStyle w:val="StrongEmphasis"/>
              </w:rPr>
              <w:t>“</w:t>
            </w:r>
            <w:r>
              <w:rPr>
                <w:rStyle w:val="StrongEmphasis"/>
                <w:rFonts w:ascii="times new roman" w:hAnsi="times new roman"/>
                <w:sz w:val="20"/>
                <w:u w:val="single"/>
              </w:rPr>
              <w:t>COMPANY</w:t>
            </w:r>
            <w:r>
              <w:rPr>
                <w:rStyle w:val="StrongEmphasis"/>
                <w:rFonts w:ascii="times new roman" w:hAnsi="times new roman"/>
                <w:sz w:val="20"/>
              </w:rPr>
              <w:t>”</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rStyle w:val="StrongEmphasis"/>
                <w:rFonts w:ascii="times new roman" w:hAnsi="times new roman"/>
                <w:sz w:val="20"/>
              </w:rPr>
              <w:t xml:space="preserve">PEDEVCO CORP., </w:t>
            </w:r>
          </w:p>
          <w:p>
            <w:pPr>
              <w:pStyle w:val="TableContents"/>
              <w:bidi w:val="0"/>
              <w:spacing w:before="0" w:after="0"/>
              <w:ind w:left="0" w:right="0" w:hanging="0"/>
              <w:jc w:val="both"/>
              <w:rPr/>
            </w:pPr>
            <w:r>
              <w:rPr>
                <w:rStyle w:val="StrongEmphasis"/>
                <w:rFonts w:ascii="times new roman" w:hAnsi="times new roman"/>
                <w:sz w:val="20"/>
              </w:rPr>
              <w:t>a Texas corporation</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423"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pPr>
            <w:r>
              <w:rPr/>
              <w:t>By:</w:t>
            </w:r>
          </w:p>
        </w:tc>
        <w:tc>
          <w:tcPr>
            <w:tcW w:w="3423"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left"/>
              <w:rPr/>
            </w:pPr>
            <w:r>
              <w:rPr/>
              <w:t> </w:t>
            </w:r>
          </w:p>
        </w:tc>
        <w:tc>
          <w:tcPr>
            <w:tcW w:w="3423" w:type="dxa"/>
            <w:tcBorders/>
            <w:vAlign w:val="center"/>
          </w:tcPr>
          <w:p>
            <w:pPr>
              <w:pStyle w:val="TableContents"/>
              <w:bidi w:val="0"/>
              <w:spacing w:before="0" w:after="283"/>
              <w:jc w:val="left"/>
              <w:rPr/>
            </w:pPr>
            <w:r>
              <w:rPr/>
              <w:t> </w:t>
            </w:r>
            <w:r>
              <w:rPr/>
              <w:t>Clark R. Moore</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42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Executive Vice President</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and General Counsel</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3423"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069"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Address for notice:</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PEDEVCO Corp.</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575 N. Dairy Ashford, Energy Center II, Suite 210</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Houston, Texas 77079</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Attn: Corporate Counsel</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ind w:left="0" w:right="0" w:hanging="0"/>
              <w:jc w:val="left"/>
              <w:rPr/>
            </w:pPr>
            <w:r>
              <w:rPr/>
              <w:t> </w:t>
            </w:r>
          </w:p>
        </w:tc>
      </w:tr>
      <w:tr>
        <w:trPr/>
        <w:tc>
          <w:tcPr>
            <w:tcW w:w="350" w:type="dxa"/>
            <w:tcBorders>
              <w:bottom w:val="single" w:sz="2" w:space="0" w:color="000000"/>
            </w:tcBorders>
            <w:tcMar>
              <w:bottom w:w="28" w:type="dxa"/>
            </w:tcMar>
            <w:vAlign w:val="center"/>
          </w:tcPr>
          <w:p>
            <w:pPr>
              <w:pStyle w:val="TableContents"/>
              <w:bidi w:val="0"/>
              <w:spacing w:before="0" w:after="283"/>
              <w:jc w:val="center"/>
              <w:rPr/>
            </w:pPr>
            <w:r>
              <w:rPr/>
              <w:t>13</w:t>
            </w:r>
          </w:p>
        </w:tc>
      </w:tr>
      <w:tr>
        <w:trPr/>
        <w:tc>
          <w:tcPr>
            <w:tcW w:w="350" w:type="dxa"/>
            <w:tcBorders/>
            <w:vAlign w:val="center"/>
          </w:tcPr>
          <w:p>
            <w:pPr>
              <w:pStyle w:val="TableContents"/>
              <w:bidi w:val="0"/>
              <w:spacing w:before="0" w:after="283"/>
              <w:jc w:val="left"/>
              <w:rPr>
                <w:sz w:val="4"/>
                <w:szCs w:val="4"/>
              </w:rPr>
            </w:pPr>
            <w:r>
              <w:rPr>
                <w:sz w:val="4"/>
                <w:szCs w:val="4"/>
              </w:rPr>
            </w:r>
          </w:p>
        </w:tc>
      </w:tr>
      <w:tr>
        <w:trPr/>
        <w:tc>
          <w:tcPr>
            <w:tcW w:w="3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u w:val="single"/>
        </w:rPr>
        <w:t>Exhibit A</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CERTIFICATE OF ACCREDITED INVESTOR STATUS AND INVESTOR INFORMATION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sz w:val="20"/>
        </w:rPr>
        <w:t>Except as may be indicated by the undersigned below, the undersigned is an “</w:t>
      </w:r>
      <w:r>
        <w:rPr>
          <w:rStyle w:val="StrongEmphasis"/>
          <w:rFonts w:ascii="times new roman" w:hAnsi="times new roman"/>
          <w:sz w:val="20"/>
          <w:u w:val="single"/>
        </w:rPr>
        <w:t>accredited investor,</w:t>
      </w:r>
      <w:r>
        <w:rPr>
          <w:rFonts w:ascii="times new roman" w:hAnsi="times new roman"/>
          <w:sz w:val="20"/>
        </w:rPr>
        <w:t>” as that term is defined in Regulation D under the Securities Act of 1933, as amended (the “</w:t>
      </w:r>
      <w:r>
        <w:rPr>
          <w:rStyle w:val="StrongEmphasis"/>
          <w:rFonts w:ascii="times new roman" w:hAnsi="times new roman"/>
          <w:sz w:val="20"/>
          <w:u w:val="single"/>
        </w:rPr>
        <w:t>Securities Act</w:t>
      </w:r>
      <w:r>
        <w:rPr>
          <w:rFonts w:ascii="times new roman" w:hAnsi="times new roman"/>
          <w:sz w:val="20"/>
        </w:rPr>
        <w:t>”). The undersigned has initialed the box below indicating the basis on which he, she or it, is representing his, her, or its, status as an “</w:t>
      </w:r>
      <w:r>
        <w:rPr>
          <w:rStyle w:val="StrongEmphasis"/>
          <w:rFonts w:ascii="times new roman" w:hAnsi="times new roman"/>
          <w:sz w:val="20"/>
          <w:u w:val="single"/>
        </w:rPr>
        <w:t>accredited investor</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______ a bank as defined in Section 3(a)(2) of the Securities Act, or any savings and loan association or other institution as defined in Section 3(a)(5)(A) of the Securities Act whether acting in its individual or fiduciary capacity; a broker or dealer registered pursuant to Section 15 of the Securities Exchange Act of 1934, as amended (the “</w:t>
      </w:r>
      <w:r>
        <w:rPr>
          <w:rStyle w:val="StrongEmphasis"/>
          <w:rFonts w:ascii="times new roman" w:hAnsi="times new roman"/>
          <w:sz w:val="20"/>
          <w:u w:val="single"/>
        </w:rPr>
        <w:t>Securities Exchange Act</w:t>
      </w:r>
      <w:r>
        <w:rPr>
          <w:rFonts w:ascii="times new roman" w:hAnsi="times new roman"/>
          <w:sz w:val="20"/>
        </w:rPr>
        <w:t>”); an insurance company as defined in Section 2(13) of the Securities Act; an investment company registered under the Investment Company Act of 1940 or a business development company as defined in Section 2(a)(48) of that Act; a small business investment company licensed by the U.S. Small Business Administration under Section 301(c) or (d) of the Small Business Investment Act of 1958; a plan established and maintained by a state, its political subdivisions, or any agency or instrumentality of a state or its political subdivisions, for the benefit of its employees, and such plan has total assets in excess of $5,000,000; 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w:t>
      </w:r>
      <w:r>
        <w:rPr>
          <w:rStyle w:val="StrongEmphasis"/>
          <w:rFonts w:ascii="times new roman" w:hAnsi="times new roman"/>
          <w:sz w:val="20"/>
          <w:u w:val="single"/>
        </w:rPr>
        <w:t>accredited investors</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____ a private business development company as defined in Section 202(a)(22) of the Investment Advisers Act of 1940;</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____ an organization described in Section 501(c)(3) of the Internal Revenue Code, corporation, Massachusetts or similar business trust, or partnership, not formed for the specific purpose of acquiring the securities offered, with total assets in excess of $5,000,000;</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____ a natural person whose individual net worth, or joint net worth with the undersigned’s spouse or spousal equivalent, at the time of this purchase exceeds $1,000,000. For purposes of this item, “</w:t>
      </w:r>
      <w:r>
        <w:rPr>
          <w:rStyle w:val="StrongEmphasis"/>
          <w:rFonts w:ascii="times new roman" w:hAnsi="times new roman"/>
          <w:sz w:val="20"/>
          <w:u w:val="single"/>
        </w:rPr>
        <w:t>net worth</w:t>
      </w:r>
      <w:r>
        <w:rPr>
          <w:rFonts w:ascii="times new roman" w:hAnsi="times new roman"/>
          <w:sz w:val="20"/>
        </w:rPr>
        <w:t>” means the excess of total assets at fair market value (including personal and real property, but excluding the estimated fair market value of a person’s primary home) over total liabilities. Total liabilities excludes any mortgage on the primary home in an amount of up to the home’s estimated fair market value as long as the mortgage was incurred more than 60 days before the Securities are purchased, but includes (i) any mortgage amount in excess of the home’s fair market value and (ii) any mortgage amount that was borrowed during the 60-day period before the closing date for the sale of Securities for the purpose of investing in the Securities;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____ a natural person who had an individual income in excess of $200,000 in each of the two most recent years or joint income with the undersigned’s spouse or spousal equivalent in excess of $300,000 in each of those years and has a reasonable expectation of reaching the same income level in the current year;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_ __ a trust with total assets in excess of $5,000,000, not formed for the specific purpose of acquiring the securities offered, whose purchase is directed by a person who has such knowledge and experience in financial and business matters that he is capable of evaluating the merits and risks of the prospective investment;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____ an entity in which all of the equity holders are “</w:t>
      </w:r>
      <w:r>
        <w:rPr>
          <w:rStyle w:val="StrongEmphasis"/>
          <w:rFonts w:ascii="times new roman" w:hAnsi="times new roman"/>
          <w:sz w:val="20"/>
          <w:u w:val="single"/>
        </w:rPr>
        <w:t>accredited investors</w:t>
      </w:r>
      <w:r>
        <w:rPr>
          <w:rFonts w:ascii="times new roman" w:hAnsi="times new roman"/>
          <w:sz w:val="20"/>
        </w:rPr>
        <w:t>” by virtue of their meeting one or more of the above standards; or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____ an individual who is a director or executive officer of PEDEVCO Corp.</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Style w:val="StrongEmphasis"/>
          <w:rFonts w:ascii="times new roman" w:hAnsi="times new roman"/>
          <w:sz w:val="20"/>
        </w:rPr>
        <w:t>Investor Information:</w:t>
      </w:r>
      <w:r>
        <w:rPr>
          <w:rFonts w:ascii="times new roman" w:hAnsi="times new roman"/>
          <w:sz w:val="20"/>
        </w:rPr>
        <w:t xml:space="preserve"> (This must be consistent with the form of ownership selected below and the information provided above)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Name (please print):</w:t>
      </w:r>
    </w:p>
    <w:p>
      <w:pPr>
        <w:pStyle w:val="TextBody"/>
        <w:bidi w:val="0"/>
        <w:spacing w:before="0" w:after="0"/>
        <w:ind w:left="0" w:right="0" w:firstLine="720"/>
        <w:jc w:val="both"/>
        <w:rPr/>
      </w:pPr>
      <w:r>
        <w:rPr/>
        <w:t> </w:t>
      </w:r>
    </w:p>
    <w:tbl>
      <w:tblPr>
        <w:tblW w:w="3040" w:type="dxa"/>
        <w:jc w:val="left"/>
        <w:tblInd w:w="0" w:type="dxa"/>
        <w:tblLayout w:type="fixed"/>
        <w:tblCellMar>
          <w:top w:w="0" w:type="dxa"/>
          <w:left w:w="0" w:type="dxa"/>
          <w:bottom w:w="0" w:type="dxa"/>
          <w:right w:w="0" w:type="dxa"/>
        </w:tblCellMar>
      </w:tblPr>
      <w:tblGrid>
        <w:gridCol w:w="2645"/>
        <w:gridCol w:w="395"/>
      </w:tblGrid>
      <w:tr>
        <w:trPr/>
        <w:tc>
          <w:tcPr>
            <w:tcW w:w="2645" w:type="dxa"/>
            <w:tcBorders/>
            <w:vAlign w:val="center"/>
          </w:tcPr>
          <w:p>
            <w:pPr>
              <w:pStyle w:val="TableContents"/>
              <w:bidi w:val="0"/>
              <w:spacing w:before="0" w:after="0"/>
              <w:ind w:left="0" w:right="0" w:firstLine="720"/>
              <w:jc w:val="both"/>
              <w:rPr>
                <w:rFonts w:ascii="times new roman" w:hAnsi="times new roman"/>
                <w:sz w:val="20"/>
              </w:rPr>
            </w:pPr>
            <w:r>
              <w:rPr>
                <w:rFonts w:ascii="times new roman" w:hAnsi="times new roman"/>
                <w:sz w:val="20"/>
              </w:rPr>
              <w:t xml:space="preserve">If entity named above, </w:t>
            </w:r>
          </w:p>
        </w:tc>
        <w:tc>
          <w:tcPr>
            <w:tcW w:w="3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r>
      <w:tr>
        <w:trPr/>
        <w:tc>
          <w:tcPr>
            <w:tcW w:w="264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Its:</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Social Security or Taxpayer I.D. Number:</w:t>
      </w:r>
      <w:r>
        <w:rPr>
          <w:rFonts w:ascii="times new roman" w:hAnsi="times new roman"/>
          <w:sz w:val="20"/>
          <w:u w:val="single"/>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Business Address (including zip code):</w:t>
      </w:r>
      <w:r>
        <w:rPr>
          <w:rFonts w:ascii="times new roman" w:hAnsi="times new roman"/>
          <w:sz w:val="20"/>
          <w:u w:val="single"/>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Email Address: </w:t>
      </w:r>
      <w:r>
        <w:rPr>
          <w:rFonts w:ascii="times new roman" w:hAnsi="times new roman"/>
          <w:sz w:val="20"/>
          <w:u w:val="single"/>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All communications to be sent to:</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u w:val="single"/>
        </w:rPr>
        <w:t>            </w:t>
      </w:r>
      <w:r>
        <w:rPr/>
        <w:t> </w:t>
      </w:r>
      <w:r>
        <w:rPr>
          <w:rFonts w:ascii="times new roman" w:hAnsi="times new roman"/>
          <w:sz w:val="20"/>
        </w:rPr>
        <w:t>Address</w:t>
      </w:r>
      <w:r>
        <w:rPr>
          <w:rFonts w:ascii="times new roman" w:hAnsi="times new roman"/>
          <w:sz w:val="20"/>
          <w:u w:val="single"/>
        </w:rPr>
        <w:t>                    </w:t>
      </w:r>
      <w:r>
        <w:rPr>
          <w:rFonts w:ascii="times new roman" w:hAnsi="times new roman"/>
          <w:sz w:val="20"/>
        </w:rPr>
        <w:t>Email</w:t>
      </w:r>
    </w:p>
    <w:p>
      <w:pPr>
        <w:pStyle w:val="TextBody"/>
        <w:bidi w:val="0"/>
        <w:spacing w:before="0" w:after="0"/>
        <w:ind w:left="720" w:right="0" w:hanging="0"/>
        <w:jc w:val="both"/>
        <w:rPr/>
      </w:pPr>
      <w:r>
        <w:rPr/>
        <w:t> </w:t>
      </w:r>
    </w:p>
    <w:p>
      <w:pPr>
        <w:pStyle w:val="TextBody"/>
        <w:bidi w:val="0"/>
        <w:spacing w:before="0" w:after="0"/>
        <w:ind w:left="720" w:right="0" w:hanging="0"/>
        <w:jc w:val="both"/>
        <w:rPr>
          <w:rFonts w:ascii="times new roman" w:hAnsi="times new roman"/>
          <w:sz w:val="20"/>
        </w:rPr>
      </w:pPr>
      <w:r>
        <w:rPr>
          <w:rFonts w:ascii="times new roman" w:hAnsi="times new roman"/>
          <w:sz w:val="20"/>
        </w:rPr>
        <w:t>Please indicate below the form in which you will hold title to your interest in the Shares. PLEASE CONSIDER CAREFULLY. ONCE YOUR SUBSCRIPTION IS ACCEPTED, A CHANGE IN THE FORM OF TITLE CONSTITUTES A TRANSFER OF THE INTEREST IN THE SHARES AND MAY THEREFORE BE RESTRICTED BY THE TERMS OF THIS SUBSCRIPTION, AND MAY RESULT IN ADDITIONAL COSTS TO YOU. Participants should seek the advice of their attorneys in deciding in which of the forms they should take ownership of the interest in the Shares, because different forms of ownership can have varying gift tax, estate tax, income tax, and other consequences, depending on the state of the investor’s domicile and his or her particular personal circumstances.</w:t>
      </w:r>
    </w:p>
    <w:p>
      <w:pPr>
        <w:pStyle w:val="TextBody"/>
        <w:bidi w:val="0"/>
        <w:spacing w:before="0" w:after="0"/>
        <w:ind w:left="720" w:right="0" w:hanging="0"/>
        <w:jc w:val="both"/>
        <w:rPr/>
      </w:pPr>
      <w:r>
        <w:rPr/>
        <w:t> </w:t>
      </w:r>
    </w:p>
    <w:p>
      <w:pPr>
        <w:pStyle w:val="TextBody"/>
        <w:bidi w:val="0"/>
        <w:spacing w:before="0" w:after="0"/>
        <w:ind w:left="720" w:right="0" w:hanging="0"/>
        <w:jc w:val="both"/>
        <w:rPr/>
      </w:pPr>
      <w:r>
        <w:rPr>
          <w:u w:val="single"/>
        </w:rPr>
        <w:t>            </w:t>
      </w:r>
      <w:r>
        <w:rPr/>
        <w:t> </w:t>
      </w:r>
      <w:r>
        <w:rPr>
          <w:rFonts w:ascii="times new roman" w:hAnsi="times new roman"/>
          <w:sz w:val="20"/>
        </w:rPr>
        <w:t>INDIVIDUAL OWNERSHIP (one signature required)</w:t>
      </w:r>
    </w:p>
    <w:p>
      <w:pPr>
        <w:pStyle w:val="TextBody"/>
        <w:bidi w:val="0"/>
        <w:spacing w:before="0" w:after="0"/>
        <w:ind w:left="720" w:right="0" w:hanging="0"/>
        <w:jc w:val="both"/>
        <w:rPr/>
      </w:pPr>
      <w:r>
        <w:rPr/>
        <w:t> </w:t>
      </w:r>
    </w:p>
    <w:p>
      <w:pPr>
        <w:pStyle w:val="TextBody"/>
        <w:bidi w:val="0"/>
        <w:spacing w:before="0" w:after="0"/>
        <w:ind w:left="720" w:right="0" w:hanging="0"/>
        <w:jc w:val="both"/>
        <w:rPr/>
      </w:pPr>
      <w:r>
        <w:rPr>
          <w:u w:val="single"/>
        </w:rPr>
        <w:t>            </w:t>
      </w:r>
      <w:r>
        <w:rPr/>
        <w:t> </w:t>
      </w:r>
      <w:r>
        <w:rPr>
          <w:rFonts w:ascii="times new roman" w:hAnsi="times new roman"/>
          <w:sz w:val="20"/>
        </w:rPr>
        <w:t>JOINT TENANTS WITH RIGHT OF SURVIVORSHIP AND NOT AS TENANTS IN COMMON (both or all parties must sign)</w:t>
      </w:r>
    </w:p>
    <w:p>
      <w:pPr>
        <w:pStyle w:val="TextBody"/>
        <w:bidi w:val="0"/>
        <w:spacing w:before="0" w:after="0"/>
        <w:ind w:left="720" w:right="0" w:hanging="0"/>
        <w:jc w:val="both"/>
        <w:rPr/>
      </w:pPr>
      <w:r>
        <w:rPr/>
        <w:t> </w:t>
      </w:r>
    </w:p>
    <w:p>
      <w:pPr>
        <w:pStyle w:val="TextBody"/>
        <w:bidi w:val="0"/>
        <w:spacing w:before="0" w:after="0"/>
        <w:ind w:left="720" w:right="0" w:hanging="0"/>
        <w:jc w:val="both"/>
        <w:rPr/>
      </w:pPr>
      <w:r>
        <w:rPr>
          <w:u w:val="single"/>
        </w:rPr>
        <w:t>            </w:t>
      </w:r>
      <w:r>
        <w:rPr/>
        <w:t> </w:t>
      </w:r>
      <w:r>
        <w:rPr>
          <w:rFonts w:ascii="times new roman" w:hAnsi="times new roman"/>
          <w:sz w:val="20"/>
        </w:rPr>
        <w:t>COMMUNITY PROPERTY (one signature required if interest held in one name, i.e., managing spouse; two signatures required if interest held in both names)</w:t>
      </w:r>
    </w:p>
    <w:p>
      <w:pPr>
        <w:pStyle w:val="TextBody"/>
        <w:bidi w:val="0"/>
        <w:spacing w:before="0" w:after="0"/>
        <w:ind w:left="720" w:right="0" w:hanging="0"/>
        <w:jc w:val="both"/>
        <w:rPr/>
      </w:pPr>
      <w:r>
        <w:rPr/>
        <w:t> </w:t>
      </w:r>
    </w:p>
    <w:p>
      <w:pPr>
        <w:pStyle w:val="TextBody"/>
        <w:bidi w:val="0"/>
        <w:spacing w:before="0" w:after="0"/>
        <w:ind w:left="720" w:right="0" w:hanging="0"/>
        <w:jc w:val="both"/>
        <w:rPr/>
      </w:pPr>
      <w:r>
        <w:rPr>
          <w:u w:val="single"/>
        </w:rPr>
        <w:t>            </w:t>
      </w:r>
      <w:r>
        <w:rPr/>
        <w:t> </w:t>
      </w:r>
      <w:r>
        <w:rPr>
          <w:rFonts w:ascii="times new roman" w:hAnsi="times new roman"/>
          <w:sz w:val="20"/>
        </w:rPr>
        <w:t>TENANTS IN COMMON (both or all parties must sign)</w:t>
      </w:r>
    </w:p>
    <w:p>
      <w:pPr>
        <w:pStyle w:val="TextBody"/>
        <w:bidi w:val="0"/>
        <w:spacing w:before="0" w:after="0"/>
        <w:ind w:left="720" w:right="0" w:hanging="0"/>
        <w:jc w:val="both"/>
        <w:rPr/>
      </w:pPr>
      <w:r>
        <w:rPr/>
        <w:t> </w:t>
      </w:r>
    </w:p>
    <w:p>
      <w:pPr>
        <w:pStyle w:val="TextBody"/>
        <w:bidi w:val="0"/>
        <w:spacing w:before="0" w:after="0"/>
        <w:ind w:left="720" w:right="0" w:hanging="0"/>
        <w:jc w:val="both"/>
        <w:rPr/>
      </w:pPr>
      <w:r>
        <w:rPr>
          <w:u w:val="single"/>
        </w:rPr>
        <w:t>            </w:t>
      </w:r>
      <w:r>
        <w:rPr/>
        <w:t> </w:t>
      </w:r>
      <w:r>
        <w:rPr>
          <w:rFonts w:ascii="times new roman" w:hAnsi="times new roman"/>
          <w:sz w:val="20"/>
        </w:rPr>
        <w:t>GENERAL PARTNERSHIP (fill out all documents in the name of the PARTNERSHIP, by a PARTNER authorized to sign)</w:t>
      </w:r>
    </w:p>
    <w:p>
      <w:pPr>
        <w:pStyle w:val="TextBody"/>
        <w:bidi w:val="0"/>
        <w:spacing w:before="0" w:after="0"/>
        <w:ind w:left="720" w:right="0" w:hanging="0"/>
        <w:jc w:val="both"/>
        <w:rPr/>
      </w:pPr>
      <w:r>
        <w:rPr/>
        <w:t> </w:t>
      </w:r>
    </w:p>
    <w:p>
      <w:pPr>
        <w:pStyle w:val="TextBody"/>
        <w:bidi w:val="0"/>
        <w:spacing w:before="0" w:after="0"/>
        <w:ind w:left="720" w:right="0" w:hanging="0"/>
        <w:jc w:val="both"/>
        <w:rPr/>
      </w:pPr>
      <w:r>
        <w:rPr>
          <w:u w:val="single"/>
        </w:rPr>
        <w:t>            </w:t>
      </w:r>
      <w:r>
        <w:rPr/>
        <w:t> </w:t>
      </w:r>
      <w:r>
        <w:rPr>
          <w:rFonts w:ascii="times new roman" w:hAnsi="times new roman"/>
          <w:sz w:val="20"/>
        </w:rPr>
        <w:t>LIMITED PARTNERSHIP (fill out all documents in the name of the LIMITED PARTNERSHIP, by a GENERAL PARTNER authorized to sign)</w:t>
      </w:r>
    </w:p>
    <w:p>
      <w:pPr>
        <w:pStyle w:val="TextBody"/>
        <w:bidi w:val="0"/>
        <w:spacing w:before="0" w:after="0"/>
        <w:ind w:left="720" w:right="0" w:hanging="0"/>
        <w:jc w:val="both"/>
        <w:rPr/>
      </w:pPr>
      <w:r>
        <w:rPr/>
        <w:t> </w:t>
      </w:r>
    </w:p>
    <w:p>
      <w:pPr>
        <w:pStyle w:val="TextBody"/>
        <w:bidi w:val="0"/>
        <w:spacing w:before="0" w:after="0"/>
        <w:ind w:left="720" w:right="0" w:hanging="0"/>
        <w:jc w:val="both"/>
        <w:rPr/>
      </w:pPr>
      <w:r>
        <w:rPr>
          <w:u w:val="single"/>
        </w:rPr>
        <w:t>             </w:t>
      </w:r>
      <w:r>
        <w:rPr>
          <w:rFonts w:ascii="times new roman" w:hAnsi="times new roman"/>
          <w:sz w:val="20"/>
        </w:rPr>
        <w:t>LIMITED LIABILITY COMPANY (fill out all documents in the name of the LIMITED LIABILITY COMPANY, by a member authorized to sign)</w:t>
      </w:r>
    </w:p>
    <w:p>
      <w:pPr>
        <w:pStyle w:val="TextBody"/>
        <w:bidi w:val="0"/>
        <w:spacing w:before="0" w:after="0"/>
        <w:ind w:left="720" w:right="0" w:hanging="0"/>
        <w:jc w:val="both"/>
        <w:rPr/>
      </w:pPr>
      <w:r>
        <w:rPr/>
        <w:t> </w:t>
      </w:r>
    </w:p>
    <w:p>
      <w:pPr>
        <w:pStyle w:val="TextBody"/>
        <w:bidi w:val="0"/>
        <w:spacing w:before="0" w:after="0"/>
        <w:ind w:left="720" w:right="0" w:hanging="0"/>
        <w:jc w:val="both"/>
        <w:rPr/>
      </w:pPr>
      <w:r>
        <w:rPr>
          <w:u w:val="single"/>
        </w:rPr>
        <w:t>            </w:t>
      </w:r>
      <w:r>
        <w:rPr/>
        <w:t> </w:t>
      </w:r>
      <w:r>
        <w:rPr>
          <w:rFonts w:ascii="times new roman" w:hAnsi="times new roman"/>
          <w:sz w:val="20"/>
        </w:rPr>
        <w:t>CORPORATION (fill out all documents in the name of the CORPORATION, by the President or other officer authorized to sign)</w:t>
      </w:r>
    </w:p>
    <w:p>
      <w:pPr>
        <w:pStyle w:val="TextBody"/>
        <w:bidi w:val="0"/>
        <w:spacing w:before="0" w:after="0"/>
        <w:ind w:left="720" w:right="0" w:hanging="0"/>
        <w:jc w:val="both"/>
        <w:rPr/>
      </w:pPr>
      <w:r>
        <w:rPr/>
        <w:t> </w:t>
      </w:r>
    </w:p>
    <w:p>
      <w:pPr>
        <w:pStyle w:val="TextBody"/>
        <w:bidi w:val="0"/>
        <w:spacing w:before="0" w:after="0"/>
        <w:ind w:left="720" w:right="0" w:hanging="0"/>
        <w:jc w:val="both"/>
        <w:rPr/>
      </w:pPr>
      <w:r>
        <w:rPr>
          <w:u w:val="single"/>
        </w:rPr>
        <w:t>         </w:t>
      </w:r>
      <w:r>
        <w:rPr/>
        <w:t> </w:t>
      </w:r>
      <w:r>
        <w:rPr>
          <w:rFonts w:ascii="times new roman" w:hAnsi="times new roman"/>
          <w:sz w:val="20"/>
        </w:rPr>
        <w:t>TRUST (fill out all documents in the name of the TRUST, by the Trustee, and include a copy of the instrument creating the trust and any other documents necessary to show the investment by the Trustee is authorized. The date of the trust must appear on the Notarial where indicated.)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 w:hAnsi="times new roman"/>
          <w:sz w:val="20"/>
        </w:rPr>
        <w:t xml:space="preserve">IN WITNESS WHEREOF, the undersigned has executed this Certificate of Accredited Investor Status and Investor Information effective as of </w:t>
      </w:r>
      <w:r>
        <w:rPr>
          <w:rStyle w:val="StrongEmphasis"/>
          <w:rFonts w:ascii="times new roman" w:hAnsi="times new roman"/>
          <w:sz w:val="20"/>
        </w:rPr>
        <w:t>October __, 2025.</w:t>
      </w:r>
    </w:p>
    <w:p>
      <w:pPr>
        <w:pStyle w:val="TextBody"/>
        <w:bidi w:val="0"/>
        <w:spacing w:before="0" w:after="0"/>
        <w:ind w:left="0" w:right="0" w:hanging="0"/>
        <w:jc w:val="left"/>
        <w:rPr/>
      </w:pPr>
      <w:r>
        <w:rPr/>
        <w:t> </w:t>
      </w:r>
    </w:p>
    <w:tbl>
      <w:tblPr>
        <w:tblW w:w="7284" w:type="dxa"/>
        <w:jc w:val="left"/>
        <w:tblInd w:w="0" w:type="dxa"/>
        <w:tblLayout w:type="fixed"/>
        <w:tblCellMar>
          <w:top w:w="0" w:type="dxa"/>
          <w:left w:w="0" w:type="dxa"/>
          <w:bottom w:w="0" w:type="dxa"/>
          <w:right w:w="0" w:type="dxa"/>
        </w:tblCellMar>
      </w:tblPr>
      <w:tblGrid>
        <w:gridCol w:w="105"/>
        <w:gridCol w:w="350"/>
        <w:gridCol w:w="6164"/>
        <w:gridCol w:w="665"/>
      </w:tblGrid>
      <w:tr>
        <w:trPr/>
        <w:tc>
          <w:tcPr>
            <w:tcW w:w="105" w:type="dxa"/>
            <w:tcBorders/>
            <w:vAlign w:val="center"/>
          </w:tcPr>
          <w:p>
            <w:pPr>
              <w:pStyle w:val="TableContents"/>
              <w:bidi w:val="0"/>
              <w:spacing w:before="0" w:after="283"/>
              <w:jc w:val="left"/>
              <w:rPr>
                <w:sz w:val="4"/>
                <w:szCs w:val="4"/>
              </w:rPr>
            </w:pPr>
            <w:r>
              <w:rPr>
                <w:sz w:val="4"/>
                <w:szCs w:val="4"/>
              </w:rPr>
            </w:r>
          </w:p>
        </w:tc>
        <w:tc>
          <w:tcPr>
            <w:tcW w:w="6514"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Participant Name: </w:t>
            </w:r>
          </w:p>
        </w:tc>
        <w:tc>
          <w:tcPr>
            <w:tcW w:w="66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6164"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1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616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Signature</w:t>
            </w:r>
          </w:p>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616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Printed Name: </w:t>
            </w:r>
          </w:p>
        </w:tc>
        <w:tc>
          <w:tcPr>
            <w:tcW w:w="66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6164"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6829"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Title/Position:</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(required for any stockholder that is a corporation, partnership, trust or other entity)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hanging="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u w:val="single"/>
        </w:rPr>
        <w:t>Exhibit B</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Second Amended and Restated Certificate of Designations of PEDEVCO Corp. Establishing the Designations, Preferences, Limitations and Relative Rights of its Series A Convertible Preferred Stock</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[Attached.]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Subscription Agreement</w:t>
      </w:r>
    </w:p>
    <w:p>
      <w:pPr>
        <w:pStyle w:val="TextBody"/>
        <w:bidi w:val="0"/>
        <w:spacing w:before="0" w:after="0"/>
        <w:ind w:left="0" w:right="0" w:firstLine="720"/>
        <w:jc w:val="center"/>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righ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right"/>
        <w:rPr/>
      </w:pPr>
      <w:r>
        <w:rPr>
          <w:rStyle w:val="StrongEmphasis"/>
          <w:rFonts w:ascii="times new roman" w:hAnsi="times new roman"/>
          <w:sz w:val="20"/>
        </w:rPr>
        <w:t>EXHIBIT 107</w:t>
      </w:r>
    </w:p>
    <w:p>
      <w:pPr>
        <w:pStyle w:val="TextBody"/>
        <w:bidi w:val="0"/>
        <w:spacing w:before="0" w:after="0"/>
        <w:ind w:left="0" w:right="0" w:hanging="0"/>
        <w:jc w:val="left"/>
        <w:rPr/>
      </w:pPr>
      <w:r>
        <w:rPr/>
        <w:t> </w:t>
      </w:r>
    </w:p>
    <w:p>
      <w:pPr>
        <w:pStyle w:val="TextBody"/>
        <w:bidi w:val="0"/>
        <w:spacing w:before="0" w:after="0"/>
        <w:ind w:left="0" w:right="0" w:hanging="0"/>
        <w:jc w:val="right"/>
        <w:rPr/>
      </w:pPr>
      <w:r>
        <w:rPr>
          <w:rStyle w:val="StrongEmphasis"/>
          <w:rFonts w:ascii="times new roman" w:hAnsi="times new roman"/>
          <w:sz w:val="20"/>
        </w:rPr>
        <w:t>Ex-Filing Fees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CALCULATION OF FILING FEE TABLES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S-3</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Table 1: Newly Registered and Carry Forward Securities</w:t>
      </w:r>
    </w:p>
    <w:p>
      <w:pPr>
        <w:pStyle w:val="TextBody"/>
        <w:bidi w:val="0"/>
        <w:spacing w:before="0" w:after="0"/>
        <w:ind w:left="0" w:right="0" w:hanging="0"/>
        <w:jc w:val="left"/>
        <w:rPr/>
      </w:pPr>
      <w:r>
        <w:rPr/>
        <w:t> </w:t>
      </w:r>
    </w:p>
    <w:tbl>
      <w:tblPr>
        <w:tblW w:w="11821" w:type="dxa"/>
        <w:jc w:val="left"/>
        <w:tblInd w:w="0" w:type="dxa"/>
        <w:tblLayout w:type="fixed"/>
        <w:tblCellMar>
          <w:top w:w="0" w:type="dxa"/>
          <w:left w:w="0" w:type="dxa"/>
          <w:bottom w:w="28" w:type="dxa"/>
          <w:right w:w="0" w:type="dxa"/>
        </w:tblCellMar>
      </w:tblPr>
      <w:tblGrid>
        <w:gridCol w:w="500"/>
        <w:gridCol w:w="90"/>
        <w:gridCol w:w="755"/>
        <w:gridCol w:w="90"/>
        <w:gridCol w:w="800"/>
        <w:gridCol w:w="90"/>
        <w:gridCol w:w="515"/>
        <w:gridCol w:w="90"/>
        <w:gridCol w:w="1040"/>
        <w:gridCol w:w="90"/>
        <w:gridCol w:w="980"/>
        <w:gridCol w:w="90"/>
        <w:gridCol w:w="814"/>
        <w:gridCol w:w="515"/>
        <w:gridCol w:w="90"/>
        <w:gridCol w:w="53"/>
        <w:gridCol w:w="814"/>
        <w:gridCol w:w="1340"/>
        <w:gridCol w:w="90"/>
        <w:gridCol w:w="935"/>
        <w:gridCol w:w="90"/>
        <w:gridCol w:w="262"/>
        <w:gridCol w:w="768"/>
        <w:gridCol w:w="920"/>
      </w:tblGrid>
      <w:tr>
        <w:trPr/>
        <w:tc>
          <w:tcPr>
            <w:tcW w:w="50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Line Item </w:t>
            </w:r>
          </w:p>
          <w:p>
            <w:pPr>
              <w:pStyle w:val="TableContents"/>
              <w:bidi w:val="0"/>
              <w:spacing w:before="0" w:after="0"/>
              <w:ind w:left="0" w:right="0" w:hanging="0"/>
              <w:jc w:val="center"/>
              <w:rPr/>
            </w:pPr>
            <w:r>
              <w:rPr>
                <w:rStyle w:val="StrongEmphasis"/>
                <w:rFonts w:ascii="times new roman" w:hAnsi="times new roman"/>
                <w:sz w:val="20"/>
              </w:rPr>
              <w:t>Type</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75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Security </w:t>
            </w:r>
          </w:p>
          <w:p>
            <w:pPr>
              <w:pStyle w:val="TableContents"/>
              <w:bidi w:val="0"/>
              <w:spacing w:before="0" w:after="0"/>
              <w:ind w:left="0" w:right="0" w:hanging="0"/>
              <w:jc w:val="center"/>
              <w:rPr/>
            </w:pPr>
            <w:r>
              <w:rPr>
                <w:rStyle w:val="StrongEmphasis"/>
                <w:rFonts w:ascii="times new roman" w:hAnsi="times new roman"/>
                <w:sz w:val="20"/>
              </w:rPr>
              <w:t>Type</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80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Security </w:t>
            </w:r>
          </w:p>
          <w:p>
            <w:pPr>
              <w:pStyle w:val="TableContents"/>
              <w:bidi w:val="0"/>
              <w:spacing w:before="0" w:after="0"/>
              <w:ind w:left="0" w:right="0" w:hanging="0"/>
              <w:jc w:val="center"/>
              <w:rPr/>
            </w:pPr>
            <w:r>
              <w:rPr>
                <w:rStyle w:val="StrongEmphasis"/>
                <w:rFonts w:ascii="times new roman" w:hAnsi="times new roman"/>
                <w:sz w:val="20"/>
              </w:rPr>
              <w:t xml:space="preserve">Class </w:t>
            </w:r>
          </w:p>
          <w:p>
            <w:pPr>
              <w:pStyle w:val="TableContents"/>
              <w:bidi w:val="0"/>
              <w:spacing w:before="0" w:after="0"/>
              <w:ind w:left="0" w:right="0" w:hanging="0"/>
              <w:jc w:val="center"/>
              <w:rPr/>
            </w:pPr>
            <w:r>
              <w:rPr>
                <w:rStyle w:val="StrongEmphasis"/>
                <w:rFonts w:ascii="times new roman" w:hAnsi="times new roman"/>
                <w:sz w:val="20"/>
              </w:rPr>
              <w:t>Title</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51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Notes</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04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Fee </w:t>
            </w:r>
          </w:p>
          <w:p>
            <w:pPr>
              <w:pStyle w:val="TableContents"/>
              <w:bidi w:val="0"/>
              <w:spacing w:before="0" w:after="0"/>
              <w:ind w:left="0" w:right="0" w:hanging="0"/>
              <w:jc w:val="center"/>
              <w:rPr/>
            </w:pPr>
            <w:r>
              <w:rPr>
                <w:rStyle w:val="StrongEmphasis"/>
                <w:rFonts w:ascii="times new roman" w:hAnsi="times new roman"/>
                <w:sz w:val="20"/>
              </w:rPr>
              <w:t>Calculation</w:t>
            </w:r>
          </w:p>
          <w:p>
            <w:pPr>
              <w:pStyle w:val="TableContents"/>
              <w:bidi w:val="0"/>
              <w:spacing w:before="0" w:after="0"/>
              <w:ind w:left="0" w:right="0" w:hanging="0"/>
              <w:jc w:val="center"/>
              <w:rPr/>
            </w:pPr>
            <w:r>
              <w:rPr>
                <w:rStyle w:val="StrongEmphasis"/>
                <w:rFonts w:ascii="times new roman" w:hAnsi="times new roman"/>
                <w:sz w:val="20"/>
              </w:rPr>
              <w:t>Rule</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98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Amount </w:t>
            </w:r>
          </w:p>
          <w:p>
            <w:pPr>
              <w:pStyle w:val="TableContents"/>
              <w:bidi w:val="0"/>
              <w:spacing w:before="0" w:after="0"/>
              <w:ind w:left="0" w:right="0" w:hanging="0"/>
              <w:jc w:val="center"/>
              <w:rPr/>
            </w:pPr>
            <w:r>
              <w:rPr>
                <w:rStyle w:val="StrongEmphasis"/>
                <w:rFonts w:ascii="times new roman" w:hAnsi="times new roman"/>
                <w:sz w:val="20"/>
              </w:rPr>
              <w:t>Registered</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32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Proposed </w:t>
            </w:r>
          </w:p>
          <w:p>
            <w:pPr>
              <w:pStyle w:val="TableContents"/>
              <w:bidi w:val="0"/>
              <w:spacing w:before="0" w:after="0"/>
              <w:ind w:left="0" w:right="0" w:hanging="0"/>
              <w:jc w:val="center"/>
              <w:rPr/>
            </w:pPr>
            <w:r>
              <w:rPr>
                <w:rStyle w:val="StrongEmphasis"/>
                <w:rFonts w:ascii="times new roman" w:hAnsi="times new roman"/>
                <w:sz w:val="20"/>
              </w:rPr>
              <w:t xml:space="preserve">Maximum </w:t>
            </w:r>
          </w:p>
          <w:p>
            <w:pPr>
              <w:pStyle w:val="TableContents"/>
              <w:bidi w:val="0"/>
              <w:spacing w:before="0" w:after="0"/>
              <w:ind w:left="0" w:right="0" w:hanging="0"/>
              <w:jc w:val="center"/>
              <w:rPr/>
            </w:pPr>
            <w:r>
              <w:rPr>
                <w:rStyle w:val="StrongEmphasis"/>
                <w:rFonts w:ascii="times new roman" w:hAnsi="times new roman"/>
                <w:sz w:val="20"/>
              </w:rPr>
              <w:t>Offering</w:t>
            </w:r>
          </w:p>
          <w:p>
            <w:pPr>
              <w:pStyle w:val="TableContents"/>
              <w:bidi w:val="0"/>
              <w:spacing w:before="0" w:after="0"/>
              <w:ind w:left="0" w:right="0" w:hanging="0"/>
              <w:jc w:val="center"/>
              <w:rPr/>
            </w:pPr>
            <w:r>
              <w:rPr>
                <w:rStyle w:val="StrongEmphasis"/>
                <w:rFonts w:ascii="times new roman" w:hAnsi="times new roman"/>
                <w:sz w:val="20"/>
              </w:rPr>
              <w:t>Price Per</w:t>
            </w:r>
          </w:p>
          <w:p>
            <w:pPr>
              <w:pStyle w:val="TableContents"/>
              <w:bidi w:val="0"/>
              <w:spacing w:before="0" w:after="0"/>
              <w:ind w:left="0" w:right="0" w:hanging="0"/>
              <w:jc w:val="center"/>
              <w:rPr/>
            </w:pPr>
            <w:r>
              <w:rPr>
                <w:rStyle w:val="StrongEmphasis"/>
              </w:rPr>
              <w:t> </w:t>
            </w:r>
            <w:r>
              <w:rPr>
                <w:rStyle w:val="StrongEmphasis"/>
                <w:rFonts w:ascii="times new roman" w:hAnsi="times new roman"/>
                <w:sz w:val="20"/>
              </w:rPr>
              <w:t>Unit</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53" w:type="dxa"/>
            <w:tcBorders/>
            <w:tcMar>
              <w:bottom w:w="0" w:type="dxa"/>
            </w:tcMar>
            <w:vAlign w:val="center"/>
          </w:tcPr>
          <w:p>
            <w:pPr>
              <w:pStyle w:val="TableContents"/>
              <w:bidi w:val="0"/>
              <w:spacing w:before="0" w:after="283"/>
              <w:jc w:val="left"/>
              <w:rPr>
                <w:sz w:val="4"/>
                <w:szCs w:val="4"/>
              </w:rPr>
            </w:pPr>
            <w:r>
              <w:rPr>
                <w:sz w:val="4"/>
                <w:szCs w:val="4"/>
              </w:rPr>
            </w:r>
          </w:p>
        </w:tc>
        <w:tc>
          <w:tcPr>
            <w:tcW w:w="215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Maximum </w:t>
            </w:r>
          </w:p>
          <w:p>
            <w:pPr>
              <w:pStyle w:val="TableContents"/>
              <w:bidi w:val="0"/>
              <w:spacing w:before="0" w:after="0"/>
              <w:ind w:left="0" w:right="0" w:hanging="0"/>
              <w:jc w:val="center"/>
              <w:rPr/>
            </w:pPr>
            <w:r>
              <w:rPr>
                <w:rStyle w:val="StrongEmphasis"/>
                <w:rFonts w:ascii="times new roman" w:hAnsi="times new roman"/>
                <w:sz w:val="20"/>
              </w:rPr>
              <w:t xml:space="preserve">Aggregate </w:t>
            </w:r>
          </w:p>
          <w:p>
            <w:pPr>
              <w:pStyle w:val="TableContents"/>
              <w:bidi w:val="0"/>
              <w:spacing w:before="0" w:after="0"/>
              <w:ind w:left="0" w:right="0" w:hanging="0"/>
              <w:jc w:val="center"/>
              <w:rPr/>
            </w:pPr>
            <w:r>
              <w:rPr>
                <w:rStyle w:val="StrongEmphasis"/>
                <w:rFonts w:ascii="times new roman" w:hAnsi="times new roman"/>
                <w:sz w:val="20"/>
              </w:rPr>
              <w:t>Offering Price</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93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Fee Rate</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950" w:type="dxa"/>
            <w:gridSpan w:val="3"/>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Amount of </w:t>
            </w:r>
          </w:p>
          <w:p>
            <w:pPr>
              <w:pStyle w:val="TableContents"/>
              <w:bidi w:val="0"/>
              <w:spacing w:before="0" w:after="0"/>
              <w:ind w:left="0" w:right="0" w:hanging="0"/>
              <w:jc w:val="center"/>
              <w:rPr/>
            </w:pPr>
            <w:r>
              <w:rPr>
                <w:rStyle w:val="StrongEmphasis"/>
                <w:rFonts w:ascii="times new roman" w:hAnsi="times new roman"/>
                <w:sz w:val="20"/>
              </w:rPr>
              <w:t xml:space="preserve">Registration </w:t>
            </w:r>
          </w:p>
          <w:p>
            <w:pPr>
              <w:pStyle w:val="TableContents"/>
              <w:bidi w:val="0"/>
              <w:spacing w:before="0" w:after="0"/>
              <w:ind w:left="0" w:right="0" w:hanging="0"/>
              <w:jc w:val="center"/>
              <w:rPr/>
            </w:pPr>
            <w:r>
              <w:rPr>
                <w:rStyle w:val="StrongEmphasis"/>
                <w:rFonts w:ascii="times new roman" w:hAnsi="times new roman"/>
                <w:sz w:val="20"/>
              </w:rPr>
              <w:t>Fee</w:t>
            </w:r>
          </w:p>
        </w:tc>
      </w:tr>
      <w:tr>
        <w:trPr/>
        <w:tc>
          <w:tcPr>
            <w:tcW w:w="50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75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80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51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4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8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814" w:type="dxa"/>
            <w:tcBorders/>
            <w:tcMar>
              <w:bottom w:w="0" w:type="dxa"/>
            </w:tcMar>
            <w:vAlign w:val="center"/>
          </w:tcPr>
          <w:p>
            <w:pPr>
              <w:pStyle w:val="TableContents"/>
              <w:bidi w:val="0"/>
              <w:spacing w:before="0" w:after="0"/>
              <w:ind w:left="0" w:right="0" w:hanging="0"/>
              <w:jc w:val="left"/>
              <w:rPr/>
            </w:pPr>
            <w:r>
              <w:rPr/>
              <w:t> </w:t>
            </w:r>
          </w:p>
        </w:tc>
        <w:tc>
          <w:tcPr>
            <w:tcW w:w="51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53" w:type="dxa"/>
            <w:tcBorders/>
            <w:tcMar>
              <w:bottom w:w="0" w:type="dxa"/>
            </w:tcMar>
            <w:vAlign w:val="center"/>
          </w:tcPr>
          <w:p>
            <w:pPr>
              <w:pStyle w:val="TableContents"/>
              <w:bidi w:val="0"/>
              <w:spacing w:before="0" w:after="283"/>
              <w:jc w:val="left"/>
              <w:rPr>
                <w:sz w:val="4"/>
                <w:szCs w:val="4"/>
              </w:rPr>
            </w:pPr>
            <w:r>
              <w:rPr>
                <w:sz w:val="4"/>
                <w:szCs w:val="4"/>
              </w:rPr>
            </w:r>
          </w:p>
        </w:tc>
        <w:tc>
          <w:tcPr>
            <w:tcW w:w="814" w:type="dxa"/>
            <w:tcBorders/>
            <w:tcMar>
              <w:bottom w:w="0" w:type="dxa"/>
            </w:tcMar>
            <w:vAlign w:val="center"/>
          </w:tcPr>
          <w:p>
            <w:pPr>
              <w:pStyle w:val="TableContents"/>
              <w:bidi w:val="0"/>
              <w:spacing w:before="0" w:after="0"/>
              <w:ind w:left="0" w:right="0" w:hanging="0"/>
              <w:jc w:val="left"/>
              <w:rPr/>
            </w:pPr>
            <w:r>
              <w:rPr/>
              <w:t> </w:t>
            </w:r>
          </w:p>
        </w:tc>
        <w:tc>
          <w:tcPr>
            <w:tcW w:w="134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3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62" w:type="dxa"/>
            <w:tcBorders/>
            <w:tcMar>
              <w:bottom w:w="0" w:type="dxa"/>
            </w:tcMar>
            <w:vAlign w:val="center"/>
          </w:tcPr>
          <w:p>
            <w:pPr>
              <w:pStyle w:val="TableContents"/>
              <w:bidi w:val="0"/>
              <w:spacing w:before="0" w:after="283"/>
              <w:jc w:val="left"/>
              <w:rPr>
                <w:sz w:val="4"/>
                <w:szCs w:val="4"/>
              </w:rPr>
            </w:pPr>
            <w:r>
              <w:rPr>
                <w:sz w:val="4"/>
                <w:szCs w:val="4"/>
              </w:rPr>
            </w:r>
          </w:p>
        </w:tc>
        <w:tc>
          <w:tcPr>
            <w:tcW w:w="768" w:type="dxa"/>
            <w:tcBorders/>
            <w:tcMar>
              <w:bottom w:w="0" w:type="dxa"/>
            </w:tcMar>
            <w:vAlign w:val="center"/>
          </w:tcPr>
          <w:p>
            <w:pPr>
              <w:pStyle w:val="TableContents"/>
              <w:bidi w:val="0"/>
              <w:spacing w:before="0" w:after="0"/>
              <w:ind w:left="0" w:right="0" w:hanging="0"/>
              <w:jc w:val="left"/>
              <w:rPr/>
            </w:pPr>
            <w:r>
              <w:rPr/>
              <w:t> </w:t>
            </w:r>
          </w:p>
        </w:tc>
        <w:tc>
          <w:tcPr>
            <w:tcW w:w="920" w:type="dxa"/>
            <w:tcBorders/>
            <w:tcMar>
              <w:bottom w:w="0" w:type="dxa"/>
            </w:tcMar>
            <w:vAlign w:val="center"/>
          </w:tcPr>
          <w:p>
            <w:pPr>
              <w:pStyle w:val="TableContents"/>
              <w:bidi w:val="0"/>
              <w:spacing w:before="0" w:after="0"/>
              <w:ind w:left="0" w:right="0" w:hanging="0"/>
              <w:jc w:val="left"/>
              <w:rPr/>
            </w:pPr>
            <w:r>
              <w:rPr/>
              <w:t> </w:t>
            </w:r>
          </w:p>
        </w:tc>
      </w:tr>
      <w:tr>
        <w:trPr/>
        <w:tc>
          <w:tcPr>
            <w:tcW w:w="11821" w:type="dxa"/>
            <w:gridSpan w:val="24"/>
            <w:tcBorders/>
            <w:tcMar>
              <w:bottom w:w="0" w:type="dxa"/>
            </w:tcMar>
            <w:vAlign w:val="center"/>
          </w:tcPr>
          <w:p>
            <w:pPr>
              <w:pStyle w:val="TableContents"/>
              <w:bidi w:val="0"/>
              <w:spacing w:before="0" w:after="0"/>
              <w:ind w:left="0" w:right="0" w:hanging="0"/>
              <w:jc w:val="center"/>
              <w:rPr/>
            </w:pPr>
            <w:r>
              <w:rPr>
                <w:rStyle w:val="Emphasis"/>
                <w:rFonts w:ascii="times new roman" w:hAnsi="times new roman"/>
                <w:sz w:val="20"/>
              </w:rPr>
              <w:t>Newly Registered Securities</w:t>
            </w:r>
          </w:p>
        </w:tc>
      </w:tr>
      <w:tr>
        <w:trPr/>
        <w:tc>
          <w:tcPr>
            <w:tcW w:w="5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Fees to be Paid</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7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Equity</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par value $0.001</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1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4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Other</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8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11,040,909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1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1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1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4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148,721,044.23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0.0001381</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6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6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2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20,538.38</w:t>
            </w:r>
          </w:p>
        </w:tc>
      </w:tr>
      <w:tr>
        <w:trPr/>
        <w:tc>
          <w:tcPr>
            <w:tcW w:w="50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75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0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51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4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8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14" w:type="dxa"/>
            <w:tcBorders/>
            <w:shd w:fill="FFFFFF" w:val="clear"/>
            <w:tcMar>
              <w:bottom w:w="0" w:type="dxa"/>
            </w:tcMar>
            <w:vAlign w:val="center"/>
          </w:tcPr>
          <w:p>
            <w:pPr>
              <w:pStyle w:val="TableContents"/>
              <w:bidi w:val="0"/>
              <w:spacing w:before="0" w:after="0"/>
              <w:ind w:left="0" w:right="0" w:hanging="0"/>
              <w:jc w:val="left"/>
              <w:rPr/>
            </w:pPr>
            <w:r>
              <w:rPr/>
              <w:t> </w:t>
            </w:r>
          </w:p>
        </w:tc>
        <w:tc>
          <w:tcPr>
            <w:tcW w:w="51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53"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814" w:type="dxa"/>
            <w:tcBorders/>
            <w:shd w:fill="FFFFFF" w:val="clear"/>
            <w:tcMar>
              <w:bottom w:w="0" w:type="dxa"/>
            </w:tcMar>
            <w:vAlign w:val="center"/>
          </w:tcPr>
          <w:p>
            <w:pPr>
              <w:pStyle w:val="TableContents"/>
              <w:bidi w:val="0"/>
              <w:spacing w:before="0" w:after="0"/>
              <w:ind w:left="0" w:right="0" w:hanging="0"/>
              <w:jc w:val="left"/>
              <w:rPr/>
            </w:pPr>
            <w:r>
              <w:rPr/>
              <w:t> </w:t>
            </w:r>
          </w:p>
        </w:tc>
        <w:tc>
          <w:tcPr>
            <w:tcW w:w="134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3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62"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68" w:type="dxa"/>
            <w:tcBorders/>
            <w:shd w:fill="FFFFFF" w:val="clear"/>
            <w:tcMar>
              <w:bottom w:w="0" w:type="dxa"/>
            </w:tcMar>
            <w:vAlign w:val="center"/>
          </w:tcPr>
          <w:p>
            <w:pPr>
              <w:pStyle w:val="TableContents"/>
              <w:bidi w:val="0"/>
              <w:spacing w:before="0" w:after="0"/>
              <w:ind w:left="0" w:right="0" w:hanging="0"/>
              <w:jc w:val="left"/>
              <w:rPr/>
            </w:pPr>
            <w:r>
              <w:rPr/>
              <w:t> </w:t>
            </w:r>
          </w:p>
        </w:tc>
        <w:tc>
          <w:tcPr>
            <w:tcW w:w="920"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970" w:type="dxa"/>
            <w:gridSpan w:val="9"/>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Total Offering Amounts:</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8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14" w:type="dxa"/>
            <w:tcBorders/>
            <w:shd w:fill="CCEEFF" w:val="clear"/>
            <w:tcMar>
              <w:bottom w:w="0" w:type="dxa"/>
            </w:tcMar>
            <w:vAlign w:val="center"/>
          </w:tcPr>
          <w:p>
            <w:pPr>
              <w:pStyle w:val="TableContents"/>
              <w:bidi w:val="0"/>
              <w:spacing w:before="0" w:after="0"/>
              <w:ind w:left="0" w:right="0" w:hanging="0"/>
              <w:jc w:val="left"/>
              <w:rPr/>
            </w:pPr>
            <w:r>
              <w:rPr/>
              <w:t> </w:t>
            </w:r>
          </w:p>
        </w:tc>
        <w:tc>
          <w:tcPr>
            <w:tcW w:w="51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1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4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148,721,044.23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3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6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68" w:type="dxa"/>
            <w:tcBorders/>
            <w:shd w:fill="CCEEFF" w:val="clear"/>
            <w:tcMar>
              <w:bottom w:w="0" w:type="dxa"/>
            </w:tcMar>
            <w:vAlign w:val="center"/>
          </w:tcPr>
          <w:p>
            <w:pPr>
              <w:pStyle w:val="TableContents"/>
              <w:bidi w:val="0"/>
              <w:spacing w:before="0" w:after="0"/>
              <w:ind w:left="0" w:right="0" w:hanging="0"/>
              <w:jc w:val="left"/>
              <w:rPr/>
            </w:pPr>
            <w:r>
              <w:rPr/>
              <w:t> </w:t>
            </w:r>
          </w:p>
        </w:tc>
        <w:tc>
          <w:tcPr>
            <w:tcW w:w="92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20,538.38</w:t>
            </w:r>
          </w:p>
        </w:tc>
      </w:tr>
      <w:tr>
        <w:trPr/>
        <w:tc>
          <w:tcPr>
            <w:tcW w:w="3970" w:type="dxa"/>
            <w:gridSpan w:val="9"/>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Total Fee Offsets:</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8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14" w:type="dxa"/>
            <w:tcBorders/>
            <w:shd w:fill="FFFFFF" w:val="clear"/>
            <w:tcMar>
              <w:bottom w:w="0" w:type="dxa"/>
            </w:tcMar>
            <w:vAlign w:val="center"/>
          </w:tcPr>
          <w:p>
            <w:pPr>
              <w:pStyle w:val="TableContents"/>
              <w:bidi w:val="0"/>
              <w:spacing w:before="0" w:after="0"/>
              <w:ind w:left="0" w:right="0" w:hanging="0"/>
              <w:jc w:val="left"/>
              <w:rPr/>
            </w:pPr>
            <w:r>
              <w:rPr/>
              <w:t> </w:t>
            </w:r>
          </w:p>
        </w:tc>
        <w:tc>
          <w:tcPr>
            <w:tcW w:w="51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53"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814" w:type="dxa"/>
            <w:tcBorders/>
            <w:shd w:fill="FFFFFF" w:val="clear"/>
            <w:tcMar>
              <w:bottom w:w="0" w:type="dxa"/>
            </w:tcMar>
            <w:vAlign w:val="center"/>
          </w:tcPr>
          <w:p>
            <w:pPr>
              <w:pStyle w:val="TableContents"/>
              <w:bidi w:val="0"/>
              <w:spacing w:before="0" w:after="0"/>
              <w:ind w:left="0" w:right="0" w:hanging="0"/>
              <w:jc w:val="left"/>
              <w:rPr/>
            </w:pPr>
            <w:r>
              <w:rPr/>
              <w:t> </w:t>
            </w:r>
          </w:p>
        </w:tc>
        <w:tc>
          <w:tcPr>
            <w:tcW w:w="134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3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62"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6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0.00</w:t>
            </w:r>
          </w:p>
        </w:tc>
      </w:tr>
      <w:tr>
        <w:trPr/>
        <w:tc>
          <w:tcPr>
            <w:tcW w:w="3970" w:type="dxa"/>
            <w:gridSpan w:val="9"/>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Net Fee Due:</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8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14" w:type="dxa"/>
            <w:tcBorders/>
            <w:shd w:fill="CCEEFF" w:val="clear"/>
            <w:tcMar>
              <w:bottom w:w="0" w:type="dxa"/>
            </w:tcMar>
            <w:vAlign w:val="center"/>
          </w:tcPr>
          <w:p>
            <w:pPr>
              <w:pStyle w:val="TableContents"/>
              <w:bidi w:val="0"/>
              <w:spacing w:before="0" w:after="0"/>
              <w:ind w:left="0" w:right="0" w:hanging="0"/>
              <w:jc w:val="left"/>
              <w:rPr/>
            </w:pPr>
            <w:r>
              <w:rPr/>
              <w:t> </w:t>
            </w:r>
          </w:p>
        </w:tc>
        <w:tc>
          <w:tcPr>
            <w:tcW w:w="51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5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14" w:type="dxa"/>
            <w:tcBorders/>
            <w:shd w:fill="CCEEFF" w:val="clear"/>
            <w:tcMar>
              <w:bottom w:w="0" w:type="dxa"/>
            </w:tcMar>
            <w:vAlign w:val="center"/>
          </w:tcPr>
          <w:p>
            <w:pPr>
              <w:pStyle w:val="TableContents"/>
              <w:bidi w:val="0"/>
              <w:spacing w:before="0" w:after="0"/>
              <w:ind w:left="0" w:right="0" w:hanging="0"/>
              <w:jc w:val="left"/>
              <w:rPr/>
            </w:pPr>
            <w:r>
              <w:rPr/>
              <w:t> </w:t>
            </w:r>
          </w:p>
        </w:tc>
        <w:tc>
          <w:tcPr>
            <w:tcW w:w="134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3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6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68"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2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20,538.38</w:t>
            </w:r>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__________________________________________ </w:t>
      </w:r>
    </w:p>
    <w:p>
      <w:pPr>
        <w:pStyle w:val="TextBody"/>
        <w:bidi w:val="0"/>
        <w:spacing w:before="0" w:after="0"/>
        <w:ind w:left="0" w:right="0" w:hanging="0"/>
        <w:jc w:val="left"/>
        <w:rPr>
          <w:rFonts w:ascii="times new roman" w:hAnsi="times new roman"/>
          <w:sz w:val="20"/>
        </w:rPr>
      </w:pPr>
      <w:r>
        <w:rPr>
          <w:rFonts w:ascii="times new roman" w:hAnsi="times new roman"/>
          <w:sz w:val="20"/>
        </w:rPr>
        <w:t>Offering Note(s)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p>
            <w:pPr>
              <w:pStyle w:val="TableContents"/>
              <w:bidi w:val="0"/>
              <w:spacing w:before="0" w:after="0"/>
              <w:ind w:left="0" w:right="0" w:hanging="0"/>
              <w:jc w:val="left"/>
              <w:rPr/>
            </w:pPr>
            <w:r>
              <w:rPr/>
              <w:t> </w:t>
            </w:r>
          </w:p>
        </w:tc>
        <w:tc>
          <w:tcPr>
            <w:tcW w:w="995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shares will be offered for resale by the selling stockholders pursuant to the prospectus contained in the Registration Statement. Represents outstanding shares of common stock.</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Pursuant to Rule 416 under the Securities Act of 1933, as amended, the shares being registered in the Registration Statement include such indeterminate number of shares of common stock as may be issuable with respect to the shares being registered hereunder to prevent dilution resulting from stock splits, stock dividends, or similar transactions.</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Estimated solely for the purpose of calculating the registration fee in accordance with Rule 457(c) of the Securities Act of 1933, as amended, based on the average of the high ($13.81) and low ($13.12) sales prices of a share of the Registrant’s common stock on The NYSE American on August 21, 2026, which date is within five business days of the date of the filing of this Registration Statement.</w:t>
            </w:r>
          </w:p>
        </w:tc>
      </w:tr>
    </w:tbl>
    <w:p>
      <w:pPr>
        <w:pStyle w:val="TextBody"/>
        <w:bidi w:val="0"/>
        <w:spacing w:before="0" w:after="0"/>
        <w:ind w:left="0" w:right="0" w:hanging="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41197/000165495426003098/ped_10k.htm" TargetMode="External"/><Relationship Id="rId4" Type="http://schemas.openxmlformats.org/officeDocument/2006/relationships/hyperlink" Target="http://www.sec.gov/Archives/edgar/data/1141197/000165495426004891/ped_10q.htm" TargetMode="External"/><Relationship Id="rId5" Type="http://schemas.openxmlformats.org/officeDocument/2006/relationships/hyperlink" Target="http://www.sec.gov/Archives/edgar/data/1141197/000165495426007591/ped_10q.htm" TargetMode="External"/><Relationship Id="rId6" Type="http://schemas.openxmlformats.org/officeDocument/2006/relationships/hyperlink" Target="http://www.sec.gov/ix?doc=/Archives/edgar/data/1141197/000165495426006667/ped_def14a.htm" TargetMode="External"/><Relationship Id="rId7" Type="http://schemas.openxmlformats.org/officeDocument/2006/relationships/hyperlink" Target="http://www.sec.gov/Archives/edgar/data/1141197/000165495426006879/ped_defa14a.htm" TargetMode="External"/><Relationship Id="rId8" Type="http://schemas.openxmlformats.org/officeDocument/2006/relationships/hyperlink" Target="http://www.sec.gov/Archives/edgar/data/1141197/000165495425012450/ped_8k.htm" TargetMode="External"/><Relationship Id="rId9" Type="http://schemas.openxmlformats.org/officeDocument/2006/relationships/hyperlink" Target="http://www.sec.gov/Archives/edgar/data/1141197/000165495425014297/ped_8ka.htm" TargetMode="External"/><Relationship Id="rId10" Type="http://schemas.openxmlformats.org/officeDocument/2006/relationships/hyperlink" Target="http://www.sec.gov/Archives/edgar/data/1141197/000165495426000231/ped_8k.htm" TargetMode="External"/><Relationship Id="rId11" Type="http://schemas.openxmlformats.org/officeDocument/2006/relationships/hyperlink" Target="http://www.sec.gov/Archives/edgar/data/1141197/000165495426000233/ped_8ka.htm" TargetMode="External"/><Relationship Id="rId12" Type="http://schemas.openxmlformats.org/officeDocument/2006/relationships/hyperlink" Target="http://www.sec.gov/Archives/edgar/data/1141197/000165495426000763/ped_8k.htm" TargetMode="External"/><Relationship Id="rId13" Type="http://schemas.openxmlformats.org/officeDocument/2006/relationships/hyperlink" Target="http://www.sec.gov/Archives/edgar/data/1141197/000165495426000956/ped_8k.htm" TargetMode="External"/><Relationship Id="rId14" Type="http://schemas.openxmlformats.org/officeDocument/2006/relationships/hyperlink" Target="http://www.sec.gov/Archives/edgar/data/1141197/000165495426001566/ped_8k.htm" TargetMode="External"/><Relationship Id="rId15" Type="http://schemas.openxmlformats.org/officeDocument/2006/relationships/hyperlink" Target="http://www.sec.gov/Archives/edgar/data/1141197/000165495426001796/ped_8k.htm" TargetMode="External"/><Relationship Id="rId16" Type="http://schemas.openxmlformats.org/officeDocument/2006/relationships/hyperlink" Target="http://www.sec.gov/Archives/edgar/data/1141197/000165495426001835/ped_8k.htm" TargetMode="External"/><Relationship Id="rId17" Type="http://schemas.openxmlformats.org/officeDocument/2006/relationships/hyperlink" Target="http://www.sec.gov/Archives/edgar/data/1141197/000165495426002217/ped_8k.htm" TargetMode="External"/><Relationship Id="rId18" Type="http://schemas.openxmlformats.org/officeDocument/2006/relationships/hyperlink" Target="http://www.sec.gov/Archives/edgar/data/1141197/000165495426004632/ped_8k.htm" TargetMode="External"/><Relationship Id="rId19" Type="http://schemas.openxmlformats.org/officeDocument/2006/relationships/hyperlink" Target="http://www.sec.gov/Archives/edgar/data/1141197/000165495426005181/ped_8k.htm" TargetMode="External"/><Relationship Id="rId20" Type="http://schemas.openxmlformats.org/officeDocument/2006/relationships/hyperlink" Target="http://www.sec.gov/Archives/edgar/data/1141197/000165495426006156/ped_8k.htm" TargetMode="External"/><Relationship Id="rId21" Type="http://schemas.openxmlformats.org/officeDocument/2006/relationships/hyperlink" Target="http://www.sec.gov/Archives/edgar/data/1141197/000165495426006257/ped_8k.htm" TargetMode="External"/><Relationship Id="rId22" Type="http://schemas.openxmlformats.org/officeDocument/2006/relationships/hyperlink" Target="http://www.sec.gov/Archives/edgar/data/1141197/000165495426006724/ped_8k.htm" TargetMode="External"/><Relationship Id="rId23" Type="http://schemas.openxmlformats.org/officeDocument/2006/relationships/hyperlink" Target="http://www.sec.gov/Archives/edgar/data/1141197/000165495426006883/ped_8k.htm" TargetMode="External"/><Relationship Id="rId24" Type="http://schemas.openxmlformats.org/officeDocument/2006/relationships/hyperlink" Target="http://www.sec.gov/Archives/edgar/data/1141197/000165495426007860/ped_8ka.htm" TargetMode="External"/><Relationship Id="rId25" Type="http://schemas.openxmlformats.org/officeDocument/2006/relationships/hyperlink" Target="http://www.sec.gov/Archives/edgar/data/1141197/000165495426003098/ped_ex41.htm" TargetMode="External"/><Relationship Id="rId26" Type="http://schemas.openxmlformats.org/officeDocument/2006/relationships/image" Target="media/image2.jpeg"/><Relationship Id="rId27" Type="http://schemas.openxmlformats.org/officeDocument/2006/relationships/hyperlink" Target="http://www.sec.gov/Archives/edgar/data/1141197/000165495425012450/ped_ex21.htm" TargetMode="External"/><Relationship Id="rId28" Type="http://schemas.openxmlformats.org/officeDocument/2006/relationships/hyperlink" Target="http://www.sec.gov/Archives/edgar/data/1141197/000165495425012450/ped_ex21.htm" TargetMode="External"/><Relationship Id="rId29" Type="http://schemas.openxmlformats.org/officeDocument/2006/relationships/hyperlink" Target="http://www.sec.gov/Archives/edgar/data/1141197/000165495425013092/ped_ex22.htm" TargetMode="External"/><Relationship Id="rId30" Type="http://schemas.openxmlformats.org/officeDocument/2006/relationships/hyperlink" Target="http://www.sec.gov/Archives/edgar/data/1141197/000165495425013092/ped_ex22.htm" TargetMode="External"/><Relationship Id="rId31" Type="http://schemas.openxmlformats.org/officeDocument/2006/relationships/hyperlink" Target="http://www.sec.gov/Archives/edgar/data/1141197/000143209312000590/ex3-1.htm" TargetMode="External"/><Relationship Id="rId32" Type="http://schemas.openxmlformats.org/officeDocument/2006/relationships/hyperlink" Target="http://www.sec.gov/Archives/edgar/data/1141197/000143209312000590/ex3-1.htm" TargetMode="External"/><Relationship Id="rId33" Type="http://schemas.openxmlformats.org/officeDocument/2006/relationships/hyperlink" Target="http://www.sec.gov/Archives/edgar/data/1141197/000135448813002167/pedo_ex31.htm" TargetMode="External"/><Relationship Id="rId34" Type="http://schemas.openxmlformats.org/officeDocument/2006/relationships/hyperlink" Target="http://www.sec.gov/Archives/edgar/data/1141197/000135448813002167/pedo_ex31.htm" TargetMode="External"/><Relationship Id="rId35" Type="http://schemas.openxmlformats.org/officeDocument/2006/relationships/hyperlink" Target="http://www.sec.gov/Archives/edgar/data/1141197/000158069515000065/ex3-1.htm" TargetMode="External"/><Relationship Id="rId36" Type="http://schemas.openxmlformats.org/officeDocument/2006/relationships/hyperlink" Target="http://www.sec.gov/Archives/edgar/data/1141197/000158069515000065/ex3-1.htm" TargetMode="External"/><Relationship Id="rId37" Type="http://schemas.openxmlformats.org/officeDocument/2006/relationships/hyperlink" Target="http://www.sec.gov/Archives/edgar/data/1141197/000165495417002557/ped_ex31.htm" TargetMode="External"/><Relationship Id="rId38" Type="http://schemas.openxmlformats.org/officeDocument/2006/relationships/hyperlink" Target="http://www.sec.gov/Archives/edgar/data/1141197/000165495417002557/ped_ex31.htm" TargetMode="External"/><Relationship Id="rId39" Type="http://schemas.openxmlformats.org/officeDocument/2006/relationships/hyperlink" Target="http://www.sec.gov/Archives/edgar/data/1141197/000165495418006988/ped_ex31.htm" TargetMode="External"/><Relationship Id="rId40" Type="http://schemas.openxmlformats.org/officeDocument/2006/relationships/hyperlink" Target="http://www.sec.gov/Archives/edgar/data/1141197/000165495418006988/ped_ex31.htm" TargetMode="External"/><Relationship Id="rId41" Type="http://schemas.openxmlformats.org/officeDocument/2006/relationships/hyperlink" Target="http://www.sec.gov/Archives/edgar/data/1141197/000165495425012450/ped_ex31.htm" TargetMode="External"/><Relationship Id="rId42" Type="http://schemas.openxmlformats.org/officeDocument/2006/relationships/hyperlink" Target="http://www.sec.gov/Archives/edgar/data/1141197/000165495425012450/ped_ex31.htm" TargetMode="External"/><Relationship Id="rId43" Type="http://schemas.openxmlformats.org/officeDocument/2006/relationships/hyperlink" Target="http://www.sec.gov/Archives/edgar/data/1141197/000165495426002217/ped_ex31.htm" TargetMode="External"/><Relationship Id="rId44" Type="http://schemas.openxmlformats.org/officeDocument/2006/relationships/hyperlink" Target="http://www.sec.gov/Archives/edgar/data/1141197/000165495426002217/ped_ex31.htm" TargetMode="External"/><Relationship Id="rId45" Type="http://schemas.openxmlformats.org/officeDocument/2006/relationships/hyperlink" Target="http://www.sec.gov/Archives/edgar/data/1141197/000165495426002217/ped_ex32.htm" TargetMode="External"/><Relationship Id="rId46" Type="http://schemas.openxmlformats.org/officeDocument/2006/relationships/hyperlink" Target="http://www.sec.gov/Archives/edgar/data/1141197/000165495426002217/ped_ex32.htm" TargetMode="External"/><Relationship Id="rId47" Type="http://schemas.openxmlformats.org/officeDocument/2006/relationships/hyperlink" Target="http://www.sec.gov/Archives/edgar/data/1141197/000165495425012450/ped_ex32.htm" TargetMode="External"/><Relationship Id="rId48" Type="http://schemas.openxmlformats.org/officeDocument/2006/relationships/hyperlink" Target="http://www.sec.gov/Archives/edgar/data/1141197/000165495425012450/ped_ex32.htm" TargetMode="External"/><Relationship Id="rId49" Type="http://schemas.openxmlformats.org/officeDocument/2006/relationships/hyperlink" Target="http://www.sec.gov/Archives/edgar/data/1141197/000165495426003098/ped_ex41.htm" TargetMode="External"/><Relationship Id="rId50" Type="http://schemas.openxmlformats.org/officeDocument/2006/relationships/hyperlink" Target="http://www.sec.gov/Archives/edgar/data/1141197/000165495426003098/ped_ex41.htm" TargetMode="External"/><Relationship Id="rId51" Type="http://schemas.openxmlformats.org/officeDocument/2006/relationships/hyperlink" Target="http://www.sec.gov/Archives/edgar/data/1141197/000158069513000083/ex4-1.htm" TargetMode="External"/><Relationship Id="rId52" Type="http://schemas.openxmlformats.org/officeDocument/2006/relationships/hyperlink" Target="http://www.sec.gov/Archives/edgar/data/1141197/000158069513000083/ex4-1.htm" TargetMode="External"/><Relationship Id="rId53" Type="http://schemas.openxmlformats.org/officeDocument/2006/relationships/hyperlink" Target="http://www.sec.gov/Archives/edgar/data/1141197/000165495425012450/ped_ex102.htm" TargetMode="External"/><Relationship Id="rId54" Type="http://schemas.openxmlformats.org/officeDocument/2006/relationships/hyperlink" Target="http://www.sec.gov/Archives/edgar/data/1141197/000165495425012450/ped_ex102.htm" TargetMode="External"/><Relationship Id="rId55" Type="http://schemas.openxmlformats.org/officeDocument/2006/relationships/hyperlink" Target="http://www.sec.gov/Archives/edgar/data/1141197/000165495425012450/ped_ex103.htm" TargetMode="External"/><Relationship Id="rId56" Type="http://schemas.openxmlformats.org/officeDocument/2006/relationships/hyperlink" Target="http://www.sec.gov/Archives/edgar/data/1141197/000165495425012450/ped_ex103.htm" TargetMode="External"/><Relationship Id="rId57" Type="http://schemas.openxmlformats.org/officeDocument/2006/relationships/image" Target="media/image3.jpeg"/><Relationship Id="rId58" Type="http://schemas.openxmlformats.org/officeDocument/2006/relationships/image" Target="media/image4.jpeg"/><Relationship Id="rId59" Type="http://schemas.openxmlformats.org/officeDocument/2006/relationships/image" Target="media/image5.jpeg"/><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28068</Words>
  <Characters>150514</Characters>
  <CharactersWithSpaces>179274</CharactersWithSpaces>
  <Paragraphs>2717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