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ection16.xml.htm"/>
      <w:bookmarkStart w:id="1" w:name="kssection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DUKES REAGAN TUCK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N. DAIRY ASHFORD ENERGY CENTER II</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PEDEVCO CORP</w:t>
              </w:r>
            </w:hyperlink>
            <w:r>
              <w:rPr/>
              <w:t xml:space="preserve"> [ </w:t>
            </w:r>
            <w:r>
              <w:rPr>
                <w:rFonts w:ascii="Times;serif" w:hAnsi="Times;serif"/>
                <w:color w:val="0000FF"/>
                <w:sz w:val="24"/>
                <w:shd w:fill="FFFFFF" w:val="clear"/>
              </w:rPr>
              <w:t>PED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2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17,190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7,520</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contingent right to receive, at vesting and upon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contingent right to receive, at vesting and upon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(RSUs) vest, if at all, at the rate of (i) 1/3 of the total number of RSUs on the one (1) year anniversary of the January 1, 2026 vesting commencement date (the "VCD"); (ii) 1/3 of the total number of RSUs on the two (2) year anniversary of the VCD; and (iii) 1/3 of the total number of RSUs on the three (3) year anniversary of the VCD, subject to the Reporting Person's continued service to the Company on such vesting dates, and subject to the terms and conditions of a Restricted Stock Unit Award Grant Agreement entered into between the Company and the Reporting Person. RSUs do not expire; they either vest or are forfeited prior to vesting date. Issued under the Issuer's 2021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Performance-Based Restricted Stock Units (PBRSUs), which PBRSUs will be earned based on the performance metrics applicable to the Issuer's performance-based equity award program previously approved for management for the fiscal 2026 through fiscal 2028 performance period, which generally provide for the cliff-vesting of 100% of the PBRSUs on December 31, 2028, subject to the Reporting Person's continued service through that date and based on the Issuer's total shareholder return ("TSR") over the period, with payout ranging from 0-200% of target based on relative TSR percentile ranking against a defined peer group, and further subject to the terms and conditions of a Performance-Based Restricted Stock Unit Award Grant Agreement entered into between the Issuer and the Reporting Person. PBRSUs do not expire; they either vest or are forfeited prior to vesting. Issued under the Issuer's 2021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"Target" number of shares is reported. Possible payout ranges from 0% to 200%, based on the level of achievement of the applicable performance criteria during the applicable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the Power of Attorney filed as Exhibit 24 to the Form 3 filed by the Reporting Person on March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Clark R. Moore, attorney-in-fact for Reagan T. Dukes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485" TargetMode="External"/><Relationship Id="rId5" Type="http://schemas.openxmlformats.org/officeDocument/2006/relationships/hyperlink" Target="http://www.sec.gov/cgi-bin/browse-edgar?action=getcompany&amp;CIK=0001141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5085</Characters>
  <CharactersWithSpaces>5954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