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CURRENT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Date of Report (Date of Earliest Event Reported): </w:t>
      </w:r>
      <w:r>
        <w:rPr>
          <w:rStyle w:val="StrongEmphasis"/>
          <w:rFonts w:ascii="times new roman" w:hAnsi="times new roman"/>
          <w:sz w:val="20"/>
          <w:u w:val="single"/>
        </w:rPr>
        <w:t>May 19, 2026</w:t>
      </w:r>
    </w:p>
    <w:p>
      <w:pPr>
        <w:pStyle w:val="TextBody"/>
        <w:bidi w:val="0"/>
        <w:spacing w:before="0" w:after="0"/>
        <w:ind w:left="0" w:right="0" w:hanging="0"/>
        <w:jc w:val="center"/>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655" w:type="dxa"/>
        <w:jc w:val="left"/>
        <w:tblInd w:w="0" w:type="dxa"/>
        <w:tblLayout w:type="fixed"/>
        <w:tblCellMar>
          <w:top w:w="0" w:type="dxa"/>
          <w:left w:w="0" w:type="dxa"/>
          <w:bottom w:w="28" w:type="dxa"/>
          <w:right w:w="0" w:type="dxa"/>
        </w:tblCellMar>
      </w:tblPr>
      <w:tblGrid>
        <w:gridCol w:w="2690"/>
        <w:gridCol w:w="90"/>
        <w:gridCol w:w="116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r>
              <w:rPr>
                <w:rFonts w:ascii="times new roman" w:hAnsi="times new roman"/>
                <w:sz w:val="20"/>
              </w:rPr>
              <w:t> </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(Commission</w:t>
            </w:r>
          </w:p>
          <w:p>
            <w:pPr>
              <w:pStyle w:val="TableContents"/>
              <w:bidi w:val="0"/>
              <w:spacing w:before="0" w:after="0"/>
              <w:ind w:left="0" w:right="0" w:hanging="0"/>
              <w:jc w:val="center"/>
              <w:rPr/>
            </w:pPr>
            <w:r>
              <w:rPr>
                <w:rStyle w:val="StrongEmphasis"/>
                <w:rFonts w:ascii="times new roman" w:hAnsi="times new roman"/>
                <w:sz w:val="20"/>
              </w:rPr>
              <w:t>file number)</w:t>
            </w:r>
            <w:r>
              <w:rPr>
                <w:rFonts w:ascii="times new roman" w:hAnsi="times new roman"/>
                <w:sz w:val="20"/>
              </w:rPr>
              <w:t> </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 </w:t>
            </w:r>
          </w:p>
          <w:p>
            <w:pPr>
              <w:pStyle w:val="TableContents"/>
              <w:bidi w:val="0"/>
              <w:spacing w:before="0" w:after="0"/>
              <w:ind w:left="0" w:right="0" w:hanging="0"/>
              <w:jc w:val="center"/>
              <w:rPr/>
            </w:pPr>
            <w:r>
              <w:rPr>
                <w:rStyle w:val="StrongEmphasis"/>
                <w:rFonts w:ascii="times new roman" w:hAnsi="times new roman"/>
                <w:sz w:val="20"/>
              </w:rPr>
              <w:t>Identification</w:t>
            </w:r>
            <w:r>
              <w:rPr>
                <w:rFonts w:ascii="times new roman" w:hAnsi="times new roman"/>
                <w:sz w:val="20"/>
              </w:rPr>
              <w:t> </w:t>
            </w:r>
            <w:r>
              <w:rPr>
                <w:rStyle w:val="StrongEmphasis"/>
                <w:rFonts w:ascii="times new roman" w:hAnsi="times new roman"/>
                <w:sz w:val="20"/>
              </w:rPr>
              <w:t>No.)</w:t>
            </w:r>
          </w:p>
        </w:tc>
      </w:tr>
    </w:tbl>
    <w:p>
      <w:pPr>
        <w:pStyle w:val="TextBody"/>
        <w:bidi w:val="0"/>
        <w:spacing w:before="0" w:after="0"/>
        <w:ind w:left="0" w:right="0" w:hanging="0"/>
        <w:jc w:val="center"/>
        <w:rPr/>
      </w:pPr>
      <w:r>
        <w:rPr/>
        <w:t> </w:t>
      </w:r>
    </w:p>
    <w:tbl>
      <w:tblPr>
        <w:tblW w:w="4465" w:type="dxa"/>
        <w:jc w:val="left"/>
        <w:tblInd w:w="0" w:type="dxa"/>
        <w:tblLayout w:type="fixed"/>
        <w:tblCellMar>
          <w:top w:w="0" w:type="dxa"/>
          <w:left w:w="0" w:type="dxa"/>
          <w:bottom w:w="28" w:type="dxa"/>
          <w:right w:w="0" w:type="dxa"/>
        </w:tblCellMar>
      </w:tblPr>
      <w:tblGrid>
        <w:gridCol w:w="3380"/>
        <w:gridCol w:w="90"/>
        <w:gridCol w:w="995"/>
      </w:tblGrid>
      <w:tr>
        <w:trPr/>
        <w:tc>
          <w:tcPr>
            <w:tcW w:w="33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w:t>
            </w:r>
          </w:p>
        </w:tc>
        <w:tc>
          <w:tcPr>
            <w:tcW w:w="90" w:type="dxa"/>
            <w:tcBorders/>
            <w:tcMar>
              <w:bottom w:w="0" w:type="dxa"/>
            </w:tcMar>
            <w:vAlign w:val="center"/>
          </w:tcPr>
          <w:p>
            <w:pPr>
              <w:pStyle w:val="TableContents"/>
              <w:bidi w:val="0"/>
              <w:spacing w:before="0" w:after="0"/>
              <w:ind w:left="0" w:right="0" w:hanging="0"/>
              <w:jc w:val="righ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77079 </w:t>
            </w:r>
            <w:r>
              <w:rPr>
                <w:rFonts w:ascii="times new roman" w:hAnsi="times new roman"/>
                <w:sz w:val="20"/>
              </w:rPr>
              <w:t> </w:t>
            </w:r>
          </w:p>
        </w:tc>
      </w:tr>
      <w:tr>
        <w:trPr/>
        <w:tc>
          <w:tcPr>
            <w:tcW w:w="3380" w:type="dxa"/>
            <w:tcBorders/>
            <w:tcMar>
              <w:bottom w:w="0"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both"/>
              <w:rPr/>
            </w:pPr>
            <w:r>
              <w:rPr/>
              <w:t> </w:t>
            </w:r>
          </w:p>
        </w:tc>
        <w:tc>
          <w:tcPr>
            <w:tcW w:w="9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135" w:type="dxa"/>
        <w:jc w:val="left"/>
        <w:tblInd w:w="0" w:type="dxa"/>
        <w:tblLayout w:type="fixed"/>
        <w:tblCellMar>
          <w:top w:w="30" w:type="dxa"/>
          <w:left w:w="30" w:type="dxa"/>
          <w:bottom w:w="0" w:type="dxa"/>
          <w:right w:w="0" w:type="dxa"/>
        </w:tblCellMar>
      </w:tblPr>
      <w:tblGrid>
        <w:gridCol w:w="3605"/>
        <w:gridCol w:w="1700"/>
        <w:gridCol w:w="3830"/>
      </w:tblGrid>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60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70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83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1.01 Entry into a Material Definitive Agreement.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Third Amendment to Amended and Restated Credit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May 19, 2026 (the “Third Amendment Effective Date”), PEDEVCO Corp., a Texas corporation (the “Company”), entered into a Third Amendment to Credit Agreement (the “Third Amendment”) with Citibank, N.A., as administrative agent (the “Administrative Agent”), each of the guarantors party thereto, and each of the lenders party thereto. The Third Amendment amends that certain Amended and Restated Credit Agreement dated as of October 31, 2025 (as previously amended, restated, supplemented, or otherwise modified, the “Credit Agreement”), among the Company, as borrower, the Administrative Agent, and the lenders party thereto, to, among other things, increase the borrowing base and elected commitment amount from $120 million to $125 million. The redetermination of the borrowing base pursuant to the Third Amendment constituted the redetermination originally scheduled for on or about December 1, 2025, with the next redetermination scheduled to occur on or about July 1,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foregoing description of the Third Amendment is a summary only and is qualified in its entirety by reference to the full text of the Third Amendment, which is filed as </w:t>
      </w:r>
      <w:r>
        <w:rPr>
          <w:rFonts w:ascii="times new roman" w:hAnsi="times new roman"/>
          <w:sz w:val="20"/>
          <w:u w:val="single"/>
        </w:rPr>
        <w:t>Exhibit 10.4</w:t>
      </w:r>
      <w:r>
        <w:rPr>
          <w:rFonts w:ascii="times new roman" w:hAnsi="times new roman"/>
          <w:sz w:val="20"/>
        </w:rPr>
        <w:t xml:space="preserve"> to this Current Report on Form 8-K and incorporated by reference into this Item 1.01 in its entirety.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For a full description of the Credit Agreement, which was amended by the Third Amendment, see the Credit Agreement, the First Amendment thereto and the Second Amendment thereto, which are incorporated by reference herein as </w:t>
      </w:r>
      <w:r>
        <w:rPr>
          <w:rFonts w:ascii="times new roman" w:hAnsi="times new roman"/>
          <w:sz w:val="20"/>
          <w:u w:val="single"/>
        </w:rPr>
        <w:t>Exhibits 10.1</w:t>
      </w:r>
      <w:r>
        <w:rPr>
          <w:rFonts w:ascii="times new roman" w:hAnsi="times new roman"/>
          <w:sz w:val="20"/>
        </w:rPr>
        <w:t xml:space="preserve"> through </w:t>
      </w:r>
      <w:r>
        <w:rPr>
          <w:rFonts w:ascii="times new roman" w:hAnsi="times new roman"/>
          <w:sz w:val="20"/>
          <w:u w:val="single"/>
        </w:rPr>
        <w:t>10.3</w:t>
      </w:r>
      <w:r>
        <w:rPr>
          <w:rFonts w:ascii="times new roman" w:hAnsi="times new roman"/>
          <w:sz w:val="20"/>
        </w:rPr>
        <w:t xml:space="preserve">, respectively.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2.03  Creation of a Direct Financial Obligation or an Obligation under an Off-Balance Sheet Arrangement of a Registrant.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information set forth above in Item 1.01 of this Current Report with respect to the Third Amendment is hereby incorporated by reference into this Item 2.03 in its entirety.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 Exhibits.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790"/>
        <w:gridCol w:w="90"/>
        <w:gridCol w:w="9325"/>
      </w:tblGrid>
      <w:tr>
        <w:trPr/>
        <w:tc>
          <w:tcPr>
            <w:tcW w:w="79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Exhibit No.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32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 </w:t>
            </w:r>
          </w:p>
        </w:tc>
      </w:tr>
      <w:tr>
        <w:trPr/>
        <w:tc>
          <w:tcPr>
            <w:tcW w:w="790" w:type="dxa"/>
            <w:tcBorders/>
            <w:shd w:fill="CCEEFF" w:val="clear"/>
            <w:tcMar>
              <w:bottom w:w="0" w:type="dxa"/>
            </w:tcMar>
            <w:vAlign w:val="center"/>
          </w:tcPr>
          <w:p>
            <w:pPr>
              <w:pStyle w:val="TableContents"/>
              <w:bidi w:val="0"/>
              <w:spacing w:before="0" w:after="0"/>
              <w:ind w:left="0" w:right="0" w:hanging="0"/>
              <w:jc w:val="left"/>
              <w:rPr/>
            </w:pPr>
            <w:hyperlink r:id="rId2">
              <w:r>
                <w:rPr>
                  <w:rStyle w:val="InternetLink"/>
                  <w:rFonts w:ascii="times new roman" w:hAnsi="times new roman"/>
                  <w:sz w:val="20"/>
                </w:rPr>
                <w:t>10.1# </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25" w:type="dxa"/>
            <w:tcBorders/>
            <w:shd w:fill="CCEEFF" w:val="clear"/>
            <w:tcMar>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sz w:val="20"/>
                </w:rPr>
                <w:t>Amended and Restated Credit Agreement dated as of October 31, 2025, among PEDEVCO Corp., as borrower, Citibank, N.A., as administrative agent, and the lenders party thereto (filed as Exhibit 10.4 to the Company’s Current Report on Form 8-K filed with the Securities and Exchange Commission on November 3, 2025, and incorporated herein by reference)(File No. 001-35922)</w:t>
              </w:r>
            </w:hyperlink>
            <w:r>
              <w:rPr>
                <w:rFonts w:ascii="times new roman" w:hAnsi="times new roman"/>
                <w:sz w:val="20"/>
              </w:rPr>
              <w:t> </w:t>
            </w:r>
          </w:p>
        </w:tc>
      </w:tr>
      <w:tr>
        <w:trPr/>
        <w:tc>
          <w:tcPr>
            <w:tcW w:w="7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32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90" w:type="dxa"/>
            <w:tcBorders/>
            <w:shd w:fill="CCEEFF" w:val="clear"/>
            <w:tcMar>
              <w:bottom w:w="0" w:type="dxa"/>
            </w:tcMar>
            <w:vAlign w:val="center"/>
          </w:tcPr>
          <w:p>
            <w:pPr>
              <w:pStyle w:val="TableContents"/>
              <w:bidi w:val="0"/>
              <w:spacing w:before="0" w:after="0"/>
              <w:ind w:left="0" w:right="0" w:hanging="0"/>
              <w:jc w:val="left"/>
              <w:rPr/>
            </w:pPr>
            <w:hyperlink r:id="rId4">
              <w:r>
                <w:rPr>
                  <w:rStyle w:val="InternetLink"/>
                  <w:rFonts w:ascii="times new roman" w:hAnsi="times new roman"/>
                  <w:sz w:val="20"/>
                </w:rPr>
                <w:t>10.2 </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25" w:type="dxa"/>
            <w:tcBorders/>
            <w:shd w:fill="CCEEFF" w:val="clear"/>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sz w:val="20"/>
                </w:rPr>
                <w:t>First Amendment to Credit Agreement, dated as of December 2, 2025, among PEDEVCO Corp., as borrower, Citibank, N.A., as administrative agent, each guarantor party thereto, and each lender party thereto (filed as Exhibit 10.2 to the Company’s Current Report on Form 8-K filed with the Securities and Exchange Commission on May 8, 2026, and incorporated herein by reference)(File No. 001-35922)</w:t>
              </w:r>
            </w:hyperlink>
          </w:p>
        </w:tc>
      </w:tr>
      <w:tr>
        <w:trPr/>
        <w:tc>
          <w:tcPr>
            <w:tcW w:w="7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32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90" w:type="dxa"/>
            <w:tcBorders/>
            <w:shd w:fill="CCEEFF" w:val="clear"/>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sz w:val="20"/>
                </w:rPr>
                <w:t>10.3 </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25" w:type="dxa"/>
            <w:tcBorders/>
            <w:shd w:fill="CCEEFF" w:val="clear"/>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sz w:val="20"/>
                </w:rPr>
                <w:t>Second Amendment to Credit Agreement, dated as of May 5, 2026, among PEDEVCO Corp., as borrower, Citibank, N.A., as administrative agent, each guarantor party thereto, and each lender party thereto (filed as Exhibit 10.3 to the Company’s Current Report on Form 8-K filed with the Securities and Exchange Commission on May 8, 2026, and incorporated herein by reference)(File No. 001-35922)</w:t>
              </w:r>
            </w:hyperlink>
          </w:p>
        </w:tc>
      </w:tr>
      <w:tr>
        <w:trPr/>
        <w:tc>
          <w:tcPr>
            <w:tcW w:w="7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32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90" w:type="dxa"/>
            <w:tcBorders/>
            <w:shd w:fill="CCEEFF" w:val="clear"/>
            <w:tcMar>
              <w:bottom w:w="0" w:type="dxa"/>
            </w:tcMar>
            <w:vAlign w:val="center"/>
          </w:tcPr>
          <w:p>
            <w:pPr>
              <w:pStyle w:val="TableContents"/>
              <w:bidi w:val="0"/>
              <w:spacing w:before="0" w:after="0"/>
              <w:ind w:left="0" w:right="0" w:hanging="0"/>
              <w:jc w:val="left"/>
              <w:rPr/>
            </w:pPr>
            <w:hyperlink w:anchor="ped_ex104.htm">
              <w:r>
                <w:rPr>
                  <w:rStyle w:val="InternetLink"/>
                  <w:rFonts w:ascii="times new roman" w:hAnsi="times new roman"/>
                  <w:sz w:val="20"/>
                </w:rPr>
                <w:t>10.4* </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25" w:type="dxa"/>
            <w:tcBorders/>
            <w:shd w:fill="CCEEFF" w:val="clear"/>
            <w:tcMar>
              <w:bottom w:w="0" w:type="dxa"/>
            </w:tcMar>
            <w:vAlign w:val="center"/>
          </w:tcPr>
          <w:p>
            <w:pPr>
              <w:pStyle w:val="TableContents"/>
              <w:bidi w:val="0"/>
              <w:spacing w:before="0" w:after="0"/>
              <w:ind w:left="0" w:right="0" w:hanging="0"/>
              <w:jc w:val="left"/>
              <w:rPr/>
            </w:pPr>
            <w:hyperlink w:anchor="ped_ex104.htm">
              <w:r>
                <w:rPr>
                  <w:rStyle w:val="InternetLink"/>
                  <w:rFonts w:ascii="times new roman" w:hAnsi="times new roman"/>
                  <w:sz w:val="20"/>
                </w:rPr>
                <w:t>Third Amendment to Credit Agreement, dated as of May 19, 2026, among PEDEVCO Corp., as borrower, Citibank, N.A., as administrative agent, each guarantor party thereto, and each lender party thereto</w:t>
              </w:r>
            </w:hyperlink>
          </w:p>
        </w:tc>
      </w:tr>
      <w:tr>
        <w:trPr/>
        <w:tc>
          <w:tcPr>
            <w:tcW w:w="7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32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3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Current Report on Form 8-K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Certain schedules and exhibits have been omitted pursuant to Item 601(a)(5)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5370" w:type="dxa"/>
        <w:jc w:val="left"/>
        <w:tblInd w:w="0" w:type="dxa"/>
        <w:tblLayout w:type="fixed"/>
        <w:tblCellMar>
          <w:top w:w="0" w:type="dxa"/>
          <w:left w:w="0" w:type="dxa"/>
          <w:bottom w:w="0" w:type="dxa"/>
          <w:right w:w="0" w:type="dxa"/>
        </w:tblCellMar>
      </w:tblPr>
      <w:tblGrid>
        <w:gridCol w:w="1685"/>
        <w:gridCol w:w="440"/>
        <w:gridCol w:w="3110"/>
        <w:gridCol w:w="135"/>
      </w:tblGrid>
      <w:tr>
        <w:trPr/>
        <w:tc>
          <w:tcPr>
            <w:tcW w:w="1685" w:type="dxa"/>
            <w:tcBorders/>
            <w:vAlign w:val="center"/>
          </w:tcPr>
          <w:p>
            <w:pPr>
              <w:pStyle w:val="TableContents"/>
              <w:bidi w:val="0"/>
              <w:spacing w:before="0" w:after="0"/>
              <w:ind w:left="0" w:right="0" w:hanging="0"/>
              <w:jc w:val="both"/>
              <w:rPr/>
            </w:pPr>
            <w:r>
              <w:rPr/>
              <w:t> </w:t>
            </w:r>
          </w:p>
        </w:tc>
        <w:tc>
          <w:tcPr>
            <w:tcW w:w="3550" w:type="dxa"/>
            <w:gridSpan w:val="2"/>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Date: May 20, 2026</w:t>
            </w:r>
          </w:p>
        </w:tc>
        <w:tc>
          <w:tcPr>
            <w:tcW w:w="44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  </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pPr>
            <w:r>
              <w:rPr>
                <w:rFonts w:ascii="times new roman" w:hAnsi="times new roman"/>
                <w:sz w:val="20"/>
              </w:rPr>
              <w:t>/s/ </w:t>
            </w:r>
            <w:r>
              <w:rPr>
                <w:rStyle w:val="Emphasis"/>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0" w:name="ped_ex104.htm"/>
      <w:bookmarkStart w:id="1" w:name="ksped_ex104"/>
      <w:bookmarkEnd w:id="0"/>
      <w:bookmarkEnd w:id="1"/>
      <w:r>
        <w:rPr>
          <w:rStyle w:val="StrongEmphasis"/>
          <w:rFonts w:ascii="times new roman" w:hAnsi="times new roman"/>
          <w:sz w:val="20"/>
        </w:rPr>
        <w:t>EXHIBIT 10.4</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THIRD AMENDMENT TO CREDIT AGREEMENT</w:t>
      </w:r>
    </w:p>
    <w:p>
      <w:pPr>
        <w:pStyle w:val="TextBody"/>
        <w:bidi w:val="0"/>
        <w:spacing w:before="0" w:after="0"/>
        <w:ind w:left="0" w:right="0" w:hanging="0"/>
        <w:jc w:val="center"/>
        <w:rPr/>
      </w:pPr>
      <w:r>
        <w:rPr/>
        <w:t> </w:t>
      </w:r>
    </w:p>
    <w:p>
      <w:pPr>
        <w:pStyle w:val="TextBody"/>
        <w:bidi w:val="0"/>
        <w:spacing w:before="0" w:after="0"/>
        <w:ind w:left="0" w:right="0" w:firstLine="675"/>
        <w:jc w:val="both"/>
        <w:rPr/>
      </w:pPr>
      <w:r>
        <w:rPr>
          <w:rFonts w:ascii="times new roman" w:hAnsi="times new roman"/>
          <w:sz w:val="20"/>
        </w:rPr>
        <w:t>This THIRD AMENDMENT TO CREDIT AGREEMENT (this “</w:t>
      </w:r>
      <w:r>
        <w:rPr>
          <w:rFonts w:ascii="times new roman" w:hAnsi="times new roman"/>
          <w:sz w:val="20"/>
          <w:u w:val="single"/>
        </w:rPr>
        <w:t>Amendment</w:t>
      </w:r>
      <w:r>
        <w:rPr>
          <w:rFonts w:ascii="times new roman" w:hAnsi="times new roman"/>
          <w:sz w:val="20"/>
        </w:rPr>
        <w:t>”), dated as of May 19, 2026 (the “</w:t>
      </w:r>
      <w:r>
        <w:rPr>
          <w:rFonts w:ascii="times new roman" w:hAnsi="times new roman"/>
          <w:sz w:val="20"/>
          <w:u w:val="single"/>
        </w:rPr>
        <w:t>Third Amendment Effective Date</w:t>
      </w:r>
      <w:r>
        <w:rPr>
          <w:rFonts w:ascii="times new roman" w:hAnsi="times new roman"/>
          <w:sz w:val="20"/>
        </w:rPr>
        <w:t xml:space="preserve">”), is among </w:t>
      </w:r>
      <w:r>
        <w:rPr>
          <w:rStyle w:val="StrongEmphasis"/>
          <w:rFonts w:ascii="times new roman" w:hAnsi="times new roman"/>
          <w:sz w:val="20"/>
        </w:rPr>
        <w:t>PEDEVCO CORP.</w:t>
      </w:r>
      <w:r>
        <w:rPr>
          <w:rFonts w:ascii="times new roman" w:hAnsi="times new roman"/>
          <w:sz w:val="20"/>
        </w:rPr>
        <w:t>, a Texas corporation (the “</w:t>
      </w:r>
      <w:r>
        <w:rPr>
          <w:rFonts w:ascii="times new roman" w:hAnsi="times new roman"/>
          <w:sz w:val="20"/>
          <w:u w:val="single"/>
        </w:rPr>
        <w:t>Borrower</w:t>
      </w:r>
      <w:r>
        <w:rPr>
          <w:rFonts w:ascii="times new roman" w:hAnsi="times new roman"/>
          <w:sz w:val="20"/>
        </w:rPr>
        <w:t xml:space="preserve">”), </w:t>
      </w:r>
      <w:r>
        <w:rPr>
          <w:rStyle w:val="StrongEmphasis"/>
          <w:rFonts w:ascii="times new roman" w:hAnsi="times new roman"/>
          <w:sz w:val="20"/>
        </w:rPr>
        <w:t>CITIBANK, N.A.</w:t>
      </w:r>
      <w:r>
        <w:rPr>
          <w:rFonts w:ascii="times new roman" w:hAnsi="times new roman"/>
          <w:sz w:val="20"/>
        </w:rPr>
        <w:t>, as administrative agent (in such capacity, the “</w:t>
      </w:r>
      <w:r>
        <w:rPr>
          <w:rFonts w:ascii="times new roman" w:hAnsi="times new roman"/>
          <w:sz w:val="20"/>
          <w:u w:val="single"/>
        </w:rPr>
        <w:t>Administrative Agent</w:t>
      </w:r>
      <w:r>
        <w:rPr>
          <w:rFonts w:ascii="times new roman" w:hAnsi="times new roman"/>
          <w:sz w:val="20"/>
        </w:rPr>
        <w:t>”), each Guarantor party hereto and each Lender party hereto.</w:t>
      </w:r>
    </w:p>
    <w:p>
      <w:pPr>
        <w:pStyle w:val="TextBody"/>
        <w:bidi w:val="0"/>
        <w:spacing w:before="0" w:after="0"/>
        <w:ind w:left="0" w:right="0" w:firstLine="675"/>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RECITALS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 The Borrower, the Lenders and the Administrative Agent are parties to an Amended and Restated Credit Agreement dated as of October 31, 2025 (as the same has been or may be amended, restated, supplemented, or otherwise modified from time to time, the “</w:t>
      </w:r>
      <w:r>
        <w:rPr>
          <w:rFonts w:ascii="times new roman" w:hAnsi="times new roman"/>
          <w:sz w:val="20"/>
          <w:u w:val="single"/>
        </w:rPr>
        <w:t>Credit Agreement</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 The Borrower has requested, and the Administrative Agent and the Lenders have agreed, subject to the terms hereof, to certain amendments or modifications to the terms of the Credit Agreement, as more fully set forth herein.</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Amendments to Credit Agreement</w:t>
      </w:r>
      <w:r>
        <w:rPr>
          <w:rFonts w:ascii="times new roman" w:hAnsi="times new roman"/>
          <w:sz w:val="20"/>
        </w:rPr>
        <w:t>.</w:t>
      </w:r>
    </w:p>
    <w:p>
      <w:pPr>
        <w:pStyle w:val="TextBody"/>
        <w:bidi w:val="0"/>
        <w:spacing w:before="0" w:after="0"/>
        <w:ind w:left="0" w:right="0" w:firstLine="675"/>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(a) Each of the following definitions is hereby added to Section 1.02 of the Credit Agreement, in proper alphabetical order, to read in its entirety as follows:</w:t>
      </w:r>
    </w:p>
    <w:p>
      <w:pPr>
        <w:pStyle w:val="TextBody"/>
        <w:bidi w:val="0"/>
        <w:spacing w:before="0" w:after="0"/>
        <w:ind w:left="0" w:right="0" w:hanging="0"/>
        <w:jc w:val="both"/>
        <w:rPr/>
      </w:pPr>
      <w:r>
        <w:rPr/>
        <w:t> </w:t>
      </w:r>
    </w:p>
    <w:p>
      <w:pPr>
        <w:pStyle w:val="TextBody"/>
        <w:bidi w:val="0"/>
        <w:spacing w:before="0" w:after="0"/>
        <w:ind w:left="1350" w:right="0" w:hanging="0"/>
        <w:jc w:val="both"/>
        <w:rPr/>
      </w:pPr>
      <w:r>
        <w:rPr/>
        <w:t>“</w:t>
      </w:r>
      <w:r>
        <w:rPr>
          <w:rFonts w:ascii="times new roman" w:hAnsi="times new roman"/>
          <w:sz w:val="20"/>
          <w:u w:val="single"/>
        </w:rPr>
        <w:t>Third Amendment Effective Date</w:t>
      </w:r>
      <w:r>
        <w:rPr>
          <w:rFonts w:ascii="times new roman" w:hAnsi="times new roman"/>
          <w:sz w:val="20"/>
        </w:rPr>
        <w:t>” means May 19, 2026.</w:t>
      </w:r>
    </w:p>
    <w:p>
      <w:pPr>
        <w:pStyle w:val="TextBody"/>
        <w:bidi w:val="0"/>
        <w:spacing w:before="0" w:after="0"/>
        <w:ind w:left="135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(b) Annex I of the Credit Agreement is hereby amended and restated to read in its entirety as set forth on Annex I hereto.</w:t>
      </w:r>
    </w:p>
    <w:p>
      <w:pPr>
        <w:pStyle w:val="TextBody"/>
        <w:bidi w:val="0"/>
        <w:spacing w:before="0" w:after="0"/>
        <w:ind w:left="675" w:right="0" w:firstLine="675"/>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AGREEMENT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NOW, THEREFORE, for good and valuable consideration, the receipt and sufficiency of which hereby are acknowledged, the parties hereto hereby agree as follows: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Defined Terms</w:t>
      </w:r>
      <w:r>
        <w:rPr>
          <w:rFonts w:ascii="times new roman" w:hAnsi="times new roman"/>
          <w:sz w:val="20"/>
        </w:rPr>
        <w:t>. Capitalized terms used but not defined herein shall have the meanings assigned to such terms in the Credit Agreement. In addition, for the purposes of this Amendment, each of the following terms shall have the following meanings: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Effectiveness</w:t>
      </w:r>
      <w:r>
        <w:rPr>
          <w:rFonts w:ascii="times new roman" w:hAnsi="times new roman"/>
          <w:sz w:val="20"/>
        </w:rPr>
        <w:t>. Upon the satisfaction of the following conditions precedent, this Amendment shall become effective as of the Third Amendment Effective Date:</w:t>
      </w:r>
    </w:p>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 xml:space="preserve">(a) the Administrative Agent shall have received counterparts to this Amendment duly executed by a duly authorized officer of the Borrower, each Guarantor and each Lender; </w:t>
      </w:r>
    </w:p>
    <w:p>
      <w:pPr>
        <w:pStyle w:val="TextBody"/>
        <w:bidi w:val="0"/>
        <w:spacing w:before="0" w:after="0"/>
        <w:ind w:left="675" w:right="0" w:firstLine="675"/>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(b) the Administrative Agent shall have received reimbursement for all of its costs and expenses incurred by it prior to or in connection with this Amendment and any other documents prepared in connection herewith, including, without limitation, the fees, charges and disbursements of counsel to the Administrative Agent; and</w:t>
      </w:r>
    </w:p>
    <w:p>
      <w:pPr>
        <w:pStyle w:val="TextBody"/>
        <w:bidi w:val="0"/>
        <w:spacing w:before="0" w:after="0"/>
        <w:ind w:left="675" w:right="0" w:firstLine="675"/>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(c) Administrative Agent shall have received such other certificates, documents, or instruments as the Administrative Agent may reasonably require.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Page 1</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Borrowing Base and Elected Commitments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(a) The parties hereto agree that (i) this Amendment shall serve as (A) the Proposed Borrowing Base Notice pursuant to the requirements of Section 2.07(c)(ii) of the Credit Agreement and (B) the New Borrowing Base Notice pursuant to the requirements of Section 2.07(d) of the Credit Agreement, and (ii) the next Scheduled Redetermination of the Borrowing Base will be the July 2026 Redetermination pursuant to Section 2.07(b)(i) of the Credit Agreement.</w:t>
      </w:r>
    </w:p>
    <w:p>
      <w:pPr>
        <w:pStyle w:val="TextBody"/>
        <w:bidi w:val="0"/>
        <w:spacing w:before="0" w:after="0"/>
        <w:ind w:left="675" w:right="0" w:firstLine="675"/>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(b) Effective as of the Third Amendment Effective Date, the Borrowing Base is hereby increased to $125,000,000. The Borrowing Base as reaffirmed hereby will remain in effect until the next Scheduled Redetermination Date, the next Interim Redetermination Date or the date next adjusted in accordance with the Credit Agreement.</w:t>
      </w:r>
    </w:p>
    <w:p>
      <w:pPr>
        <w:pStyle w:val="TextBody"/>
        <w:bidi w:val="0"/>
        <w:spacing w:before="0" w:after="0"/>
        <w:ind w:left="675" w:right="0" w:firstLine="675"/>
        <w:jc w:val="both"/>
        <w:rPr/>
      </w:pPr>
      <w:r>
        <w:rPr/>
        <w:t> </w:t>
      </w:r>
    </w:p>
    <w:p>
      <w:pPr>
        <w:pStyle w:val="TextBody"/>
        <w:bidi w:val="0"/>
        <w:spacing w:before="0" w:after="0"/>
        <w:ind w:left="675" w:right="0" w:firstLine="675"/>
        <w:jc w:val="both"/>
        <w:rPr>
          <w:rFonts w:ascii="times new roman" w:hAnsi="times new roman"/>
          <w:sz w:val="20"/>
        </w:rPr>
      </w:pPr>
      <w:r>
        <w:rPr>
          <w:rFonts w:ascii="times new roman" w:hAnsi="times new roman"/>
          <w:sz w:val="20"/>
        </w:rPr>
        <w:t>(c) Effective as of the Third Amendment Effective Date, the Aggregate Elected Commitment Amount is $125,000,000. The Aggregate Elected Commitment Amount will remain in effect until next adjusted in accordance with the Credit Agreement.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Adjustment of Maximum Credit Amounts and Applicable Percentages of Lenders</w:t>
      </w:r>
      <w:r>
        <w:rPr>
          <w:rFonts w:ascii="times new roman" w:hAnsi="times new roman"/>
          <w:sz w:val="20"/>
        </w:rPr>
        <w:t xml:space="preserve">. The Lenders have agreed among themselves, in consultation with the Borrower, to reallocate their respective Maximum Credit Amounts, Applicable Percentages and Elected Commitments as set forth on </w:t>
      </w:r>
      <w:r>
        <w:rPr>
          <w:rFonts w:ascii="times new roman" w:hAnsi="times new roman"/>
          <w:sz w:val="20"/>
          <w:u w:val="single"/>
        </w:rPr>
        <w:t>Annex I</w:t>
      </w:r>
      <w:r>
        <w:rPr>
          <w:rFonts w:ascii="times new roman" w:hAnsi="times new roman"/>
          <w:sz w:val="20"/>
        </w:rPr>
        <w:t xml:space="preserve"> attached hereto, and the Administrative Agent and the Borrower hereby consent to such reallocation. The Administrative Agent, the Lenders and the Borrower hereby waive (a) any requirement that an Assignment and Assumption or any other documentation be executed in connection with such reallocation, and (b) the payment of any processing and recordation fee to the Administrative Agent. Notwithstanding the foregoing, the reallocation of the Maximum Credit Amounts, Applicable Percentages and Elected Commitments among the Lenders shall be deemed to have been consummated pursuant to the terms of an Assignment and Assumption attached as Exhibit G to the Credit Agreement as if the Lenders had executed an Assignment and Assumption (including the Annex 1 attached thereto) with respect to such reallocation. On the Agreement Effective Date, the Maximum Credit Amount, Applicable Percentage and Elected Commitment of each Lender shall be as set forth on </w:t>
      </w:r>
      <w:r>
        <w:rPr>
          <w:rFonts w:ascii="times new roman" w:hAnsi="times new roman"/>
          <w:sz w:val="20"/>
          <w:u w:val="single"/>
        </w:rPr>
        <w:t>Annex I</w:t>
      </w:r>
      <w:r>
        <w:rPr>
          <w:rFonts w:ascii="times new roman" w:hAnsi="times new roman"/>
          <w:sz w:val="20"/>
        </w:rPr>
        <w:t xml:space="preserve"> attached to this Agreement.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Representations and Warranties</w:t>
      </w:r>
      <w:r>
        <w:rPr>
          <w:rFonts w:ascii="times new roman" w:hAnsi="times new roman"/>
          <w:sz w:val="20"/>
        </w:rPr>
        <w:t>. Before and after giving effect to this Amendment, the Borrower hereby confirms that (a) the representations and warranties of each Loan Party contained in the Credit Agreement and the other Loan Documents are true and correct in all material respects (except to the extent such representations and warranties are qualified by materiality, in which case they shall be true and correct in all respects) on and as of the Third Amendment Effective Date, except to the extent that such representations and warranties specifically refer to an earlier date, in which case they shall be true and correct in all material respects (except to the extent such representations and warranties are qualified by materiality, in which case they shall be true and correct in all respects) as of such earlier date, and (b) no Default or Event of Default shall have occurred and be continuing. The execution, delivery, and performance by each Loan Party of this Amendment and compliance with the terms and provisions hereof have been duly authorized by all requisite action on the part of such Person and do not violate any contractual or other obligation by which such Person is bound.</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Acknowledgment and Ratification</w:t>
      </w:r>
      <w:r>
        <w:rPr>
          <w:rFonts w:ascii="times new roman" w:hAnsi="times new roman"/>
          <w:sz w:val="20"/>
        </w:rPr>
        <w:t>. As a material inducement to Administrative Agent and the Lenders to execute and deliver this Amendment, each Loan Party acknowledges and agrees that (a) the execution, delivery, and performance of this Amendment shall, except as expressly provided herein, in no way release, diminish, impair, reduce, or otherwise affect the obligations of such Person under the Loan Documents to which such Person is a party, (b) each Loan Document to which such Person is a party shall remain in full force and effect and shall each continue to be the legal, valid and binding obligation of such Person enforceable against such Person in accordance with its terms, and (c) it has no claims or offsets against, or defenses or counterclaims to, any of the Loan Documents.</w:t>
      </w:r>
    </w:p>
    <w:p>
      <w:pPr>
        <w:pStyle w:val="TextBody"/>
        <w:bidi w:val="0"/>
        <w:spacing w:before="0" w:after="0"/>
        <w:ind w:left="0" w:right="0" w:firstLine="675"/>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Page 2</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Effect of Amendment</w:t>
      </w:r>
      <w:r>
        <w:rPr>
          <w:rFonts w:ascii="times new roman" w:hAnsi="times new roman"/>
          <w:sz w:val="20"/>
        </w:rPr>
        <w:t>. Without limiting the generality of the foregoing, the consent, waiver and modifications set forth herein shall be limited precisely as set forth above, and nothing in this Amendment shall be deemed (i) to constitute a waiver of compliance or consent to noncompliance by any of the Loan Parties to, or an amendment of, any other term, provision, condition or covenant of the Credit Agreement or other Loan Documents, other than as specifically set forth herein; or (ii) to prejudice any right or remedy that the Administrative Agent or the Lenders may now have or may have in the future under or in connection with the Credit Agreement or any other Loan Document. Upon the effectiveness of this Amendment, each reference in the Credit Agreement to “this Agreement”, “hereunder”, or words of like import shall mean and be a reference to the Credit Agreement, as affected hereby. This Amendment shall constitute a Loan Document for all purposes.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Confirmation of Security and Guaranty</w:t>
      </w:r>
      <w:r>
        <w:rPr>
          <w:rFonts w:ascii="times new roman" w:hAnsi="times new roman"/>
          <w:sz w:val="20"/>
        </w:rPr>
        <w:t>. Each Loan Party hereby confirms and agrees that all of the Security Instruments that presently secure the Secured Obligations shall continue to secure, in the same manner and to the same extent provided therein, the payment and performance of the Secured Obligations as described in the Credit Agreement as modified by this Amendment. Each Loan Party further confirms and agrees that the Guaranty Agreement that presently guarantees the Secured Obligations shall continue to guarantee, in the same manner and to the same extent provided therein, the payment and performance of the Secured Obligations as described in the Credit Agreement as modified by this Amendment.</w:t>
      </w:r>
    </w:p>
    <w:p>
      <w:pPr>
        <w:pStyle w:val="TextBody"/>
        <w:bidi w:val="0"/>
        <w:spacing w:before="0" w:after="0"/>
        <w:ind w:left="0" w:right="0" w:firstLine="675"/>
        <w:jc w:val="both"/>
        <w:rPr/>
      </w:pPr>
      <w:r>
        <w:rPr/>
        <w:t> </w:t>
      </w:r>
    </w:p>
    <w:p>
      <w:pPr>
        <w:pStyle w:val="TextBody"/>
        <w:bidi w:val="0"/>
        <w:spacing w:before="0" w:after="0"/>
        <w:ind w:left="0" w:right="0" w:firstLine="675"/>
        <w:jc w:val="both"/>
        <w:rPr/>
      </w:pPr>
      <w:r>
        <w:rPr>
          <w:rFonts w:ascii="times new roman" w:hAnsi="times new roman"/>
          <w:sz w:val="20"/>
        </w:rPr>
        <w:t xml:space="preserve">Section 10. </w:t>
      </w:r>
      <w:r>
        <w:rPr>
          <w:rFonts w:ascii="times new roman" w:hAnsi="times new roman"/>
          <w:sz w:val="20"/>
          <w:u w:val="single"/>
        </w:rPr>
        <w:t>Incorporation of Certain Provisions by Reference</w:t>
      </w:r>
      <w:r>
        <w:rPr>
          <w:rFonts w:ascii="times new roman" w:hAnsi="times new roman"/>
          <w:sz w:val="20"/>
        </w:rPr>
        <w:t xml:space="preserve">. The provisions of </w:t>
      </w:r>
      <w:r>
        <w:rPr>
          <w:rFonts w:ascii="times new roman" w:hAnsi="times new roman"/>
          <w:sz w:val="20"/>
          <w:u w:val="single"/>
        </w:rPr>
        <w:t>Section 12.09</w:t>
      </w:r>
      <w:r>
        <w:rPr>
          <w:rFonts w:ascii="times new roman" w:hAnsi="times new roman"/>
          <w:sz w:val="20"/>
        </w:rPr>
        <w:t xml:space="preserve"> of the Credit Agreement captioned “GOVERNING LAW; JURISDICTION; ETC.” and of </w:t>
      </w:r>
      <w:r>
        <w:rPr>
          <w:rFonts w:ascii="times new roman" w:hAnsi="times new roman"/>
          <w:sz w:val="20"/>
          <w:u w:val="single"/>
        </w:rPr>
        <w:t>Section 12.10</w:t>
      </w:r>
      <w:r>
        <w:rPr>
          <w:rFonts w:ascii="times new roman" w:hAnsi="times new roman"/>
          <w:sz w:val="20"/>
        </w:rPr>
        <w:t xml:space="preserve"> of the Credit Agreement captioned “Waiver of Jury Trial” are incorporated herein by reference, </w:t>
      </w:r>
      <w:r>
        <w:rPr>
          <w:rStyle w:val="Emphasis"/>
          <w:rFonts w:ascii="times new roman" w:hAnsi="times new roman"/>
          <w:sz w:val="20"/>
        </w:rPr>
        <w:t>mutatis mutandis,</w:t>
      </w:r>
      <w:r>
        <w:rPr>
          <w:rFonts w:ascii="times new roman" w:hAnsi="times new roman"/>
          <w:sz w:val="20"/>
        </w:rPr>
        <w:t xml:space="preserve"> for all purposes.</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Execution in Counterparts</w:t>
      </w:r>
      <w:r>
        <w:rPr>
          <w:rFonts w:ascii="times new roman" w:hAnsi="times new roman"/>
          <w:sz w:val="20"/>
        </w:rPr>
        <w:t>. This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Amendment, a counterpart hereof (or signature page thereto) signed and transmitted by any Person party hereto to the Administrative Agent (or its counsel) by facsimile machine, telecopier or electronic mail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Entirety</w:t>
      </w:r>
      <w:r>
        <w:rPr>
          <w:rFonts w:ascii="times new roman" w:hAnsi="times new roman"/>
          <w:sz w:val="20"/>
        </w:rPr>
        <w:t>. This Amendment and all of the other Loan Documents embody the entire agreement between the parties. THIS AMENDMENT AND ALL OF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[Signature pages follow.]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Page 3</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WITNESS WHEREOF, the parties hereto have caused this Amendment to be duly executed and delivered by their respective proper and duly authorized officers as of the day and year first above written.</w:t>
      </w:r>
    </w:p>
    <w:p>
      <w:pPr>
        <w:pStyle w:val="TextBody"/>
        <w:bidi w:val="0"/>
        <w:spacing w:before="0" w:after="0"/>
        <w:ind w:left="0" w:right="0" w:hanging="0"/>
        <w:jc w:val="both"/>
        <w:rPr/>
      </w:pPr>
      <w:r>
        <w:rPr/>
        <w:t xml:space="preserve">  </w:t>
      </w:r>
    </w:p>
    <w:tbl>
      <w:tblPr>
        <w:tblW w:w="4534" w:type="dxa"/>
        <w:jc w:val="left"/>
        <w:tblInd w:w="0" w:type="dxa"/>
        <w:tblLayout w:type="fixed"/>
        <w:tblCellMar>
          <w:top w:w="0" w:type="dxa"/>
          <w:left w:w="0" w:type="dxa"/>
          <w:bottom w:w="0" w:type="dxa"/>
          <w:right w:w="0" w:type="dxa"/>
        </w:tblCellMar>
      </w:tblPr>
      <w:tblGrid>
        <w:gridCol w:w="105"/>
        <w:gridCol w:w="680"/>
        <w:gridCol w:w="3614"/>
        <w:gridCol w:w="135"/>
      </w:tblGrid>
      <w:tr>
        <w:trPr/>
        <w:tc>
          <w:tcPr>
            <w:tcW w:w="105" w:type="dxa"/>
            <w:tcBorders/>
            <w:vAlign w:val="center"/>
          </w:tcPr>
          <w:p>
            <w:pPr>
              <w:pStyle w:val="TableContents"/>
              <w:bidi w:val="0"/>
              <w:spacing w:before="0" w:after="283"/>
              <w:jc w:val="left"/>
              <w:rPr>
                <w:sz w:val="4"/>
                <w:szCs w:val="4"/>
              </w:rPr>
            </w:pPr>
            <w:r>
              <w:rPr>
                <w:sz w:val="4"/>
                <w:szCs w:val="4"/>
              </w:rPr>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BORROWER: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3614"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614"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Robert Long</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6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Long</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36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and Treasurer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3614"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GUARANTORS</w:t>
            </w:r>
            <w:r>
              <w:rPr>
                <w:rStyle w:val="StrongEmphasis"/>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3614"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PACIFIC ENERGY DEVELOPMENT CORP.</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PRH HOLDINGS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RED HAWK PETROLEUM,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RIDGEWAY ARIZONA OIL CORP.</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SRPT ACQUISITION,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CENTURY OIL AND GAS SUB-HOLDINGS,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NAVIGATION POWDER RIVER,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NPR INTERMEDIATE,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NPR INVESTMENT HOLDINGS,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PINE HAVEN RESOURCES,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PHR INTERMEDIATE,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PHR INVESTMENT HOLDINGS,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CENTURY OIL AND GAS,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CENTURY OIL AND GAS SOUTH,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COG INTERMEDIATE,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COG INVESTMENT HOLDINGS,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NORTH PEAK OIL &amp; GAS,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NORTH SILO RESOURCES,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LONGS PEAK RESOURCES,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MOUNTAIN CRYPTO,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LPR INTERMEDIATE,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LPR INVESTMENT HOLDINGS,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LPR INVESTMENTS NORTH,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29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LPR INVESTMENTS SOUTH, LLC</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pPr>
            <w:r>
              <w:rPr/>
              <w:t> </w:t>
            </w:r>
          </w:p>
        </w:tc>
        <w:tc>
          <w:tcPr>
            <w:tcW w:w="3614"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614"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/s/Robert Long</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6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Long</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36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and Treasurer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Signature Page</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809" w:type="dxa"/>
        <w:jc w:val="left"/>
        <w:tblInd w:w="0" w:type="dxa"/>
        <w:tblLayout w:type="fixed"/>
        <w:tblCellMar>
          <w:top w:w="0" w:type="dxa"/>
          <w:left w:w="0" w:type="dxa"/>
          <w:bottom w:w="0" w:type="dxa"/>
          <w:right w:w="0" w:type="dxa"/>
        </w:tblCellMar>
      </w:tblPr>
      <w:tblGrid>
        <w:gridCol w:w="105"/>
        <w:gridCol w:w="880"/>
        <w:gridCol w:w="1689"/>
        <w:gridCol w:w="135"/>
      </w:tblGrid>
      <w:tr>
        <w:trPr/>
        <w:tc>
          <w:tcPr>
            <w:tcW w:w="105" w:type="dxa"/>
            <w:tcBorders/>
            <w:vAlign w:val="center"/>
          </w:tcPr>
          <w:p>
            <w:pPr>
              <w:pStyle w:val="TableContents"/>
              <w:bidi w:val="0"/>
              <w:spacing w:before="0" w:after="0"/>
              <w:ind w:left="0" w:right="0" w:hanging="0"/>
              <w:jc w:val="left"/>
              <w:rPr/>
            </w:pPr>
            <w:r>
              <w:rPr/>
              <w:t> </w:t>
            </w:r>
          </w:p>
        </w:tc>
        <w:tc>
          <w:tcPr>
            <w:tcW w:w="256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ADMINISTRATIVE AGENT: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pPr>
            <w:r>
              <w:rPr/>
              <w:t> </w:t>
            </w:r>
          </w:p>
        </w:tc>
        <w:tc>
          <w:tcPr>
            <w:tcW w:w="1689"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56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CITIBANK, N.A.</w:t>
            </w:r>
            <w:r>
              <w:rPr>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56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Administrative Agent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pPr>
            <w:r>
              <w:rPr/>
              <w:t> </w:t>
            </w:r>
          </w:p>
        </w:tc>
        <w:tc>
          <w:tcPr>
            <w:tcW w:w="1689"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1689" w:type="dxa"/>
            <w:tcBorders/>
            <w:vAlign w:val="center"/>
          </w:tcPr>
          <w:p>
            <w:pPr>
              <w:pStyle w:val="TableContents"/>
              <w:bidi w:val="0"/>
              <w:spacing w:before="0" w:after="0"/>
              <w:ind w:left="0" w:right="0" w:hanging="0"/>
              <w:jc w:val="left"/>
              <w:rPr/>
            </w:pPr>
            <w:r>
              <w:rPr>
                <w:rStyle w:val="Emphasis"/>
                <w:rFonts w:ascii="times new roman" w:hAnsi="times new roman"/>
                <w:sz w:val="20"/>
                <w:u w:val="single"/>
              </w:rPr>
              <w:t>/s/Paul Colon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Name: </w:t>
            </w:r>
          </w:p>
        </w:tc>
        <w:tc>
          <w:tcPr>
            <w:tcW w:w="16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Paul Colon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16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pPr>
            <w:r>
              <w:rPr/>
              <w:t> </w:t>
            </w:r>
          </w:p>
        </w:tc>
        <w:tc>
          <w:tcPr>
            <w:tcW w:w="1689"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56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LENDERS: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pPr>
            <w:r>
              <w:rPr/>
              <w:t> </w:t>
            </w:r>
          </w:p>
        </w:tc>
        <w:tc>
          <w:tcPr>
            <w:tcW w:w="1689"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56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CITIBANK, N.A.</w:t>
            </w:r>
            <w:r>
              <w:rPr>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56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a Lender and Issuing Bank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pPr>
            <w:r>
              <w:rPr/>
              <w:t> </w:t>
            </w:r>
          </w:p>
        </w:tc>
        <w:tc>
          <w:tcPr>
            <w:tcW w:w="1689"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1689"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/s/Paul Colon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16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Paul Colon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16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Signature Page</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4714" w:type="dxa"/>
        <w:jc w:val="left"/>
        <w:tblInd w:w="0" w:type="dxa"/>
        <w:tblLayout w:type="fixed"/>
        <w:tblCellMar>
          <w:top w:w="0" w:type="dxa"/>
          <w:left w:w="0" w:type="dxa"/>
          <w:bottom w:w="0" w:type="dxa"/>
          <w:right w:w="0" w:type="dxa"/>
        </w:tblCellMar>
      </w:tblPr>
      <w:tblGrid>
        <w:gridCol w:w="105"/>
        <w:gridCol w:w="1109"/>
        <w:gridCol w:w="3365"/>
        <w:gridCol w:w="135"/>
      </w:tblGrid>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pPr>
            <w:r>
              <w:rPr/>
              <w:t> </w:t>
            </w:r>
          </w:p>
        </w:tc>
        <w:tc>
          <w:tcPr>
            <w:tcW w:w="336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47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LENDERS: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pPr>
            <w:r>
              <w:rPr/>
              <w:t> </w:t>
            </w:r>
          </w:p>
        </w:tc>
        <w:tc>
          <w:tcPr>
            <w:tcW w:w="336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474"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FIFTH THIRD BANK, NATIONAL ASSOCIATION</w:t>
            </w:r>
            <w:r>
              <w:rPr>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474"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a Lender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pPr>
            <w:r>
              <w:rPr/>
              <w:t> </w:t>
            </w:r>
          </w:p>
        </w:tc>
        <w:tc>
          <w:tcPr>
            <w:tcW w:w="336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Thomas Kleiderer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3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Thomas Kleiderer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33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Managing Director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left"/>
              <w:rPr/>
            </w:pPr>
            <w:r>
              <w:rPr/>
              <w:t> </w:t>
            </w:r>
          </w:p>
        </w:tc>
        <w:tc>
          <w:tcPr>
            <w:tcW w:w="336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Signature Page</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5119" w:type="dxa"/>
        <w:jc w:val="left"/>
        <w:tblInd w:w="0" w:type="dxa"/>
        <w:tblLayout w:type="fixed"/>
        <w:tblCellMar>
          <w:top w:w="0" w:type="dxa"/>
          <w:left w:w="0" w:type="dxa"/>
          <w:bottom w:w="0" w:type="dxa"/>
          <w:right w:w="0" w:type="dxa"/>
        </w:tblCellMar>
      </w:tblPr>
      <w:tblGrid>
        <w:gridCol w:w="105"/>
        <w:gridCol w:w="1339"/>
        <w:gridCol w:w="3540"/>
        <w:gridCol w:w="135"/>
      </w:tblGrid>
      <w:tr>
        <w:trPr/>
        <w:tc>
          <w:tcPr>
            <w:tcW w:w="105" w:type="dxa"/>
            <w:tcBorders/>
            <w:vAlign w:val="center"/>
          </w:tcPr>
          <w:p>
            <w:pPr>
              <w:pStyle w:val="TableContents"/>
              <w:bidi w:val="0"/>
              <w:spacing w:before="0" w:after="0"/>
              <w:ind w:left="0" w:right="0" w:hanging="0"/>
              <w:jc w:val="left"/>
              <w:rPr/>
            </w:pPr>
            <w:r>
              <w:rPr/>
              <w:t> </w:t>
            </w:r>
          </w:p>
        </w:tc>
        <w:tc>
          <w:tcPr>
            <w:tcW w:w="487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LENDERS: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pPr>
            <w:r>
              <w:rPr/>
              <w:t> </w:t>
            </w:r>
          </w:p>
        </w:tc>
        <w:tc>
          <w:tcPr>
            <w:tcW w:w="354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87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ZIONS BANCORPORATION, N.A. DBA AMEGY BANK</w:t>
            </w:r>
            <w:r>
              <w:rPr>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87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a Lender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pPr>
            <w:r>
              <w:rPr/>
              <w:t> </w:t>
            </w:r>
          </w:p>
        </w:tc>
        <w:tc>
          <w:tcPr>
            <w:tcW w:w="354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54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/s/Cameron Burns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3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Cameron Burns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3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Vice President</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Signature Page</w:t>
      </w:r>
    </w:p>
    <w:p>
      <w:pPr>
        <w:pStyle w:val="TextBody"/>
        <w:bidi w:val="0"/>
        <w:spacing w:before="0" w:after="0"/>
        <w:ind w:left="0" w:right="0" w:hanging="0"/>
        <w:jc w:val="both"/>
        <w:rPr/>
      </w:pPr>
      <w:r>
        <w:rPr/>
        <w:t xml:space="preserve">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2260" w:type="dxa"/>
        <w:jc w:val="left"/>
        <w:tblInd w:w="0" w:type="dxa"/>
        <w:tblLayout w:type="fixed"/>
        <w:tblCellMar>
          <w:top w:w="0" w:type="dxa"/>
          <w:left w:w="0" w:type="dxa"/>
          <w:bottom w:w="0" w:type="dxa"/>
          <w:right w:w="0" w:type="dxa"/>
        </w:tblCellMar>
      </w:tblPr>
      <w:tblGrid>
        <w:gridCol w:w="105"/>
        <w:gridCol w:w="575"/>
        <w:gridCol w:w="1445"/>
        <w:gridCol w:w="135"/>
      </w:tblGrid>
      <w:tr>
        <w:trPr/>
        <w:tc>
          <w:tcPr>
            <w:tcW w:w="105" w:type="dxa"/>
            <w:tcBorders/>
            <w:vAlign w:val="center"/>
          </w:tcPr>
          <w:p>
            <w:pPr>
              <w:pStyle w:val="TableContents"/>
              <w:bidi w:val="0"/>
              <w:spacing w:before="0" w:after="0"/>
              <w:ind w:left="0" w:right="0" w:hanging="0"/>
              <w:jc w:val="left"/>
              <w:rPr/>
            </w:pPr>
            <w:r>
              <w:rPr/>
              <w:t> </w:t>
            </w:r>
          </w:p>
        </w:tc>
        <w:tc>
          <w:tcPr>
            <w:tcW w:w="202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LENDERS: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pPr>
            <w:r>
              <w:rPr/>
              <w:t> </w:t>
            </w:r>
          </w:p>
        </w:tc>
        <w:tc>
          <w:tcPr>
            <w:tcW w:w="144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2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MIDFIRST BANK</w:t>
            </w:r>
            <w:r>
              <w:rPr>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2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a Lender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pPr>
            <w:r>
              <w:rPr/>
              <w:t> </w:t>
            </w:r>
          </w:p>
        </w:tc>
        <w:tc>
          <w:tcPr>
            <w:tcW w:w="144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/s/Morgan Henry</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14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Morgan Henry</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14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SVP</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StrongEmphasis"/>
          <w:rFonts w:ascii="times new roman" w:hAnsi="times new roman"/>
          <w:sz w:val="20"/>
          <w:u w:val="single"/>
        </w:rPr>
        <w:t>THIRD AMENDMENT TO AMENDED AND RESTATED CREDIT AGREEMENT</w:t>
      </w:r>
      <w:r>
        <w:rPr>
          <w:rStyle w:val="StrongEmphasis"/>
          <w:rFonts w:ascii="times new roman" w:hAnsi="times new roman"/>
          <w:sz w:val="20"/>
        </w:rPr>
        <w:t xml:space="preserve"> – Signature Page</w:t>
      </w:r>
    </w:p>
    <w:p>
      <w:pPr>
        <w:pStyle w:val="TextBody"/>
        <w:bidi w:val="0"/>
        <w:spacing w:before="0" w:after="0"/>
        <w:ind w:left="0" w:right="0" w:hanging="0"/>
        <w:jc w:val="both"/>
        <w:rPr/>
      </w:pPr>
      <w:r>
        <w:rPr/>
        <w:t xml:space="preserve">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4099" w:type="dxa"/>
        <w:jc w:val="left"/>
        <w:tblInd w:w="0" w:type="dxa"/>
        <w:tblLayout w:type="fixed"/>
        <w:tblCellMar>
          <w:top w:w="0" w:type="dxa"/>
          <w:left w:w="0" w:type="dxa"/>
          <w:bottom w:w="0" w:type="dxa"/>
          <w:right w:w="0" w:type="dxa"/>
        </w:tblCellMar>
      </w:tblPr>
      <w:tblGrid>
        <w:gridCol w:w="105"/>
        <w:gridCol w:w="1106"/>
        <w:gridCol w:w="2753"/>
        <w:gridCol w:w="135"/>
      </w:tblGrid>
      <w:tr>
        <w:trPr/>
        <w:tc>
          <w:tcPr>
            <w:tcW w:w="105" w:type="dxa"/>
            <w:tcBorders/>
            <w:vAlign w:val="center"/>
          </w:tcPr>
          <w:p>
            <w:pPr>
              <w:pStyle w:val="TableContents"/>
              <w:bidi w:val="0"/>
              <w:spacing w:before="0" w:after="0"/>
              <w:ind w:left="0" w:right="0" w:hanging="0"/>
              <w:jc w:val="left"/>
              <w:rPr/>
            </w:pPr>
            <w:r>
              <w:rPr/>
              <w:t> </w:t>
            </w:r>
          </w:p>
        </w:tc>
        <w:tc>
          <w:tcPr>
            <w:tcW w:w="385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u w:val="single"/>
              </w:rPr>
              <w:t>LENDERS:</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left"/>
              <w:rPr/>
            </w:pPr>
            <w:r>
              <w:rPr/>
              <w:t> </w:t>
            </w:r>
          </w:p>
        </w:tc>
        <w:tc>
          <w:tcPr>
            <w:tcW w:w="2753"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859"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FIRST INTERNATIONAL BANK &amp; TRUST</w:t>
            </w:r>
            <w:r>
              <w:rPr>
                <w:rFonts w:ascii="times new roman" w:hAnsi="times new roman"/>
                <w:sz w:val="20"/>
              </w:rPr>
              <w:t>,</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85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a Lender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left"/>
              <w:rPr/>
            </w:pPr>
            <w:r>
              <w:rPr/>
              <w:t> </w:t>
            </w:r>
          </w:p>
        </w:tc>
        <w:tc>
          <w:tcPr>
            <w:tcW w:w="2753"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shd w:fill="FFFFFF" w:val="clear"/>
            <w:vAlign w:val="center"/>
          </w:tcPr>
          <w:p>
            <w:pPr>
              <w:pStyle w:val="TableContents"/>
              <w:bidi w:val="0"/>
              <w:spacing w:before="0" w:after="0"/>
              <w:ind w:left="0" w:right="0" w:hanging="0"/>
              <w:jc w:val="left"/>
              <w:rPr/>
            </w:pPr>
            <w:r>
              <w:rPr/>
              <w:t> </w:t>
            </w:r>
          </w:p>
        </w:tc>
        <w:tc>
          <w:tcPr>
            <w:tcW w:w="11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27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/s/Drew Flaagan</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27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Drew Flaagan</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1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27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VP</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THIRD AMENDMENTTO AMENDED AND RESTATED CREDIT AGREEMENT</w:t>
      </w:r>
      <w:r>
        <w:rPr>
          <w:rStyle w:val="StrongEmphasis"/>
          <w:rFonts w:ascii="times new roman" w:hAnsi="times new roman"/>
          <w:sz w:val="20"/>
        </w:rPr>
        <w:t xml:space="preserve"> – Signature Page</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ANNEX I</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LIST OF MAXIMUM CREDIT AMOUNTS AND ELECTED COMMITMENTS</w:t>
      </w:r>
    </w:p>
    <w:p>
      <w:pPr>
        <w:pStyle w:val="TextBody"/>
        <w:bidi w:val="0"/>
        <w:spacing w:before="0" w:after="0"/>
        <w:ind w:left="0" w:right="0" w:hanging="0"/>
        <w:jc w:val="center"/>
        <w:rPr/>
      </w:pPr>
      <w:r>
        <w:rPr/>
        <w:t> </w:t>
      </w:r>
    </w:p>
    <w:tbl>
      <w:tblPr>
        <w:tblW w:w="9809" w:type="dxa"/>
        <w:jc w:val="left"/>
        <w:tblInd w:w="0" w:type="dxa"/>
        <w:tblLayout w:type="fixed"/>
        <w:tblCellMar>
          <w:top w:w="0" w:type="dxa"/>
          <w:left w:w="0" w:type="dxa"/>
          <w:bottom w:w="28" w:type="dxa"/>
          <w:right w:w="0" w:type="dxa"/>
        </w:tblCellMar>
      </w:tblPr>
      <w:tblGrid>
        <w:gridCol w:w="3755"/>
        <w:gridCol w:w="90"/>
        <w:gridCol w:w="90"/>
        <w:gridCol w:w="1550"/>
        <w:gridCol w:w="290"/>
        <w:gridCol w:w="90"/>
        <w:gridCol w:w="170"/>
        <w:gridCol w:w="1550"/>
        <w:gridCol w:w="90"/>
        <w:gridCol w:w="90"/>
        <w:gridCol w:w="188"/>
        <w:gridCol w:w="1721"/>
        <w:gridCol w:w="135"/>
      </w:tblGrid>
      <w:tr>
        <w:trPr/>
        <w:tc>
          <w:tcPr>
            <w:tcW w:w="375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Lender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4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Applicable </w:t>
            </w:r>
          </w:p>
          <w:p>
            <w:pPr>
              <w:pStyle w:val="TableContents"/>
              <w:bidi w:val="0"/>
              <w:spacing w:before="0" w:after="0"/>
              <w:ind w:left="0" w:right="0" w:hanging="0"/>
              <w:jc w:val="center"/>
              <w:rPr/>
            </w:pPr>
            <w:r>
              <w:rPr>
                <w:rStyle w:val="StrongEmphasis"/>
                <w:rFonts w:ascii="times new roman" w:hAnsi="times new roman"/>
                <w:sz w:val="20"/>
              </w:rPr>
              <w:t>Percentage</w:t>
            </w:r>
          </w:p>
        </w:tc>
        <w:tc>
          <w:tcPr>
            <w:tcW w:w="2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2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Maximum Credit </w:t>
            </w:r>
          </w:p>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90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Elected Commitment </w:t>
            </w:r>
          </w:p>
          <w:p>
            <w:pPr>
              <w:pStyle w:val="TableContents"/>
              <w:bidi w:val="0"/>
              <w:spacing w:before="0" w:after="0"/>
              <w:ind w:left="0" w:right="0" w:hanging="0"/>
              <w:jc w:val="center"/>
              <w:rPr/>
            </w:pPr>
            <w:r>
              <w:rPr>
                <w:rStyle w:val="StrongEmphasis"/>
                <w:rFonts w:ascii="times new roman" w:hAnsi="times new roman"/>
                <w:sz w:val="20"/>
              </w:rPr>
              <w:t xml:space="preserve">as of Third </w:t>
            </w:r>
          </w:p>
          <w:p>
            <w:pPr>
              <w:pStyle w:val="TableContents"/>
              <w:bidi w:val="0"/>
              <w:spacing w:before="0" w:after="0"/>
              <w:ind w:left="0" w:right="0" w:hanging="0"/>
              <w:jc w:val="center"/>
              <w:rPr/>
            </w:pPr>
            <w:r>
              <w:rPr>
                <w:rStyle w:val="StrongEmphasis"/>
                <w:rFonts w:ascii="times new roman" w:hAnsi="times new roman"/>
                <w:sz w:val="20"/>
              </w:rPr>
              <w:t xml:space="preserve">Amendment Effective </w:t>
            </w:r>
          </w:p>
          <w:p>
            <w:pPr>
              <w:pStyle w:val="TableContents"/>
              <w:bidi w:val="0"/>
              <w:spacing w:before="0" w:after="0"/>
              <w:ind w:left="0" w:right="0" w:hanging="0"/>
              <w:jc w:val="center"/>
              <w:rPr/>
            </w:pPr>
            <w:r>
              <w:rPr>
                <w:rStyle w:val="StrongEmphasis"/>
                <w:rFonts w:ascii="times new roman" w:hAnsi="times new roman"/>
                <w:sz w:val="20"/>
              </w:rPr>
              <w:t>Date</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37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Citibank, N.A.</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30.000000000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jc w:val="right"/>
              <w:rPr/>
            </w:pPr>
            <w:r>
              <w:rPr/>
              <w:t>75,000,000.00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721" w:type="dxa"/>
            <w:tcBorders/>
            <w:shd w:fill="CCEEFF" w:val="clear"/>
            <w:tcMar>
              <w:bottom w:w="0" w:type="dxa"/>
            </w:tcMar>
            <w:vAlign w:val="center"/>
          </w:tcPr>
          <w:p>
            <w:pPr>
              <w:pStyle w:val="TableContents"/>
              <w:bidi w:val="0"/>
              <w:spacing w:before="0" w:after="283"/>
              <w:jc w:val="right"/>
              <w:rPr/>
            </w:pPr>
            <w:r>
              <w:rPr/>
              <w:t>37,500,000.00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7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Fifth Third Bank, National Association</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283"/>
              <w:jc w:val="right"/>
              <w:rPr/>
            </w:pPr>
            <w:r>
              <w:rPr/>
              <w:t>25.000000000</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jc w:val="right"/>
              <w:rPr/>
            </w:pPr>
            <w:r>
              <w:rPr/>
              <w:t>62,500,000.00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w:t>
            </w:r>
          </w:p>
        </w:tc>
        <w:tc>
          <w:tcPr>
            <w:tcW w:w="1721" w:type="dxa"/>
            <w:tcBorders/>
            <w:shd w:fill="FFFFFF" w:val="clear"/>
            <w:tcMar>
              <w:bottom w:w="0" w:type="dxa"/>
            </w:tcMar>
            <w:vAlign w:val="center"/>
          </w:tcPr>
          <w:p>
            <w:pPr>
              <w:pStyle w:val="TableContents"/>
              <w:bidi w:val="0"/>
              <w:spacing w:before="0" w:after="283"/>
              <w:jc w:val="right"/>
              <w:rPr/>
            </w:pPr>
            <w:r>
              <w:rPr/>
              <w:t>31,250,000.00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7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Zions Bancorporation, N.A. dba Amegy Bank</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20.000000000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jc w:val="right"/>
              <w:rPr/>
            </w:pPr>
            <w:r>
              <w:rPr/>
              <w:t>50,000,000.00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721" w:type="dxa"/>
            <w:tcBorders/>
            <w:shd w:fill="CCEEFF" w:val="clear"/>
            <w:tcMar>
              <w:bottom w:w="0" w:type="dxa"/>
            </w:tcMar>
            <w:vAlign w:val="center"/>
          </w:tcPr>
          <w:p>
            <w:pPr>
              <w:pStyle w:val="TableContents"/>
              <w:bidi w:val="0"/>
              <w:spacing w:before="0" w:after="283"/>
              <w:jc w:val="right"/>
              <w:rPr/>
            </w:pPr>
            <w:r>
              <w:rPr/>
              <w:t>25,000,000.00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7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MidFirst Bank</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283"/>
              <w:jc w:val="right"/>
              <w:rPr/>
            </w:pPr>
            <w:r>
              <w:rPr/>
              <w:t>16.666666667</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jc w:val="right"/>
              <w:rPr/>
            </w:pPr>
            <w:r>
              <w:rPr/>
              <w:t>41,666,666.67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w:t>
            </w:r>
          </w:p>
        </w:tc>
        <w:tc>
          <w:tcPr>
            <w:tcW w:w="1721" w:type="dxa"/>
            <w:tcBorders/>
            <w:shd w:fill="FFFFFF" w:val="clear"/>
            <w:tcMar>
              <w:bottom w:w="0" w:type="dxa"/>
            </w:tcMar>
            <w:vAlign w:val="center"/>
          </w:tcPr>
          <w:p>
            <w:pPr>
              <w:pStyle w:val="TableContents"/>
              <w:bidi w:val="0"/>
              <w:spacing w:before="0" w:after="283"/>
              <w:jc w:val="right"/>
              <w:rPr/>
            </w:pPr>
            <w:r>
              <w:rPr/>
              <w:t>20,833,333.33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7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First International Bank &amp; Trust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t>8.333333333</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50" w:type="dxa"/>
            <w:tcBorders/>
            <w:shd w:fill="CCEEFF" w:val="clear"/>
            <w:tcMar>
              <w:bottom w:w="0" w:type="dxa"/>
            </w:tcMar>
            <w:vAlign w:val="center"/>
          </w:tcPr>
          <w:p>
            <w:pPr>
              <w:pStyle w:val="TableContents"/>
              <w:bidi w:val="0"/>
              <w:spacing w:before="0" w:after="283"/>
              <w:jc w:val="right"/>
              <w:rPr/>
            </w:pPr>
            <w:r>
              <w:rPr/>
              <w:t>20,833,333.33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w:t>
            </w:r>
          </w:p>
        </w:tc>
        <w:tc>
          <w:tcPr>
            <w:tcW w:w="1721" w:type="dxa"/>
            <w:tcBorders/>
            <w:shd w:fill="CCEEFF" w:val="clear"/>
            <w:tcMar>
              <w:bottom w:w="0" w:type="dxa"/>
            </w:tcMar>
            <w:vAlign w:val="center"/>
          </w:tcPr>
          <w:p>
            <w:pPr>
              <w:pStyle w:val="TableContents"/>
              <w:bidi w:val="0"/>
              <w:spacing w:before="0" w:after="283"/>
              <w:jc w:val="right"/>
              <w:rPr/>
            </w:pPr>
            <w:r>
              <w:rPr/>
              <w:t>10,416,666.67</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75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0"/>
              <w:ind w:left="0" w:right="0" w:hanging="0"/>
              <w:jc w:val="left"/>
              <w:rPr/>
            </w:pPr>
            <w:r>
              <w:rPr/>
              <w:t> </w:t>
            </w:r>
          </w:p>
        </w:tc>
        <w:tc>
          <w:tcPr>
            <w:tcW w:w="2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8" w:type="dxa"/>
            <w:tcBorders/>
            <w:shd w:fill="FFFFFF" w:val="clear"/>
            <w:tcMar>
              <w:bottom w:w="0" w:type="dxa"/>
            </w:tcMar>
            <w:vAlign w:val="center"/>
          </w:tcPr>
          <w:p>
            <w:pPr>
              <w:pStyle w:val="TableContents"/>
              <w:bidi w:val="0"/>
              <w:spacing w:before="0" w:after="0"/>
              <w:ind w:left="0" w:right="0" w:hanging="0"/>
              <w:jc w:val="left"/>
              <w:rPr/>
            </w:pPr>
            <w:r>
              <w:rPr/>
              <w:t> </w:t>
            </w:r>
          </w:p>
        </w:tc>
        <w:tc>
          <w:tcPr>
            <w:tcW w:w="1721" w:type="dxa"/>
            <w:tcBorders/>
            <w:shd w:fill="FFFFFF" w:val="clear"/>
            <w:tcMar>
              <w:bottom w:w="0" w:type="dxa"/>
            </w:tcMar>
            <w:vAlign w:val="center"/>
          </w:tcPr>
          <w:p>
            <w:pPr>
              <w:pStyle w:val="TableContents"/>
              <w:bidi w:val="0"/>
              <w:spacing w:before="0" w:after="0"/>
              <w:ind w:left="0" w:right="0" w:hanging="0"/>
              <w:jc w:val="left"/>
              <w:rPr/>
            </w:pPr>
            <w:r>
              <w:rPr/>
              <w:t> </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755" w:type="dxa"/>
            <w:tcBorders/>
            <w:shd w:fill="CCEEFF" w:val="clear"/>
            <w:tcMar>
              <w:bottom w:w="0" w:type="dxa"/>
            </w:tcMar>
            <w:vAlign w:val="center"/>
          </w:tcPr>
          <w:p>
            <w:pPr>
              <w:pStyle w:val="TableContents"/>
              <w:bidi w:val="0"/>
              <w:spacing w:before="0" w:after="0"/>
              <w:ind w:left="675" w:right="0" w:hanging="0"/>
              <w:jc w:val="left"/>
              <w:rPr/>
            </w:pPr>
            <w:r>
              <w:rPr>
                <w:rStyle w:val="StrongEmphasis"/>
                <w:rFonts w:ascii="times new roman" w:hAnsi="times new roman"/>
                <w:sz w:val="20"/>
              </w:rPr>
              <w:t>TOTAL:</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283"/>
              <w:jc w:val="right"/>
              <w:rPr/>
            </w:pPr>
            <w:r>
              <w:rPr>
                <w:rStyle w:val="StrongEmphasis"/>
              </w:rPr>
              <w:t>100.000000000</w:t>
            </w:r>
          </w:p>
        </w:tc>
        <w:tc>
          <w:tcPr>
            <w:tcW w:w="290" w:type="dxa"/>
            <w:tcBorders/>
            <w:shd w:fill="CCEEFF" w:val="clear"/>
            <w:tcMar>
              <w:bottom w:w="0" w:type="dxa"/>
            </w:tcMar>
            <w:vAlign w:val="center"/>
          </w:tcPr>
          <w:p>
            <w:pPr>
              <w:pStyle w:val="TableContents"/>
              <w:bidi w:val="0"/>
              <w:spacing w:before="0" w:after="283"/>
              <w:jc w:val="left"/>
              <w:rPr/>
            </w:pPr>
            <w:r>
              <w:rPr>
                <w:rStyle w:val="StrongEmphasis"/>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rStyle w:val="StrongEmphasis"/>
              </w:rPr>
              <w:t>$</w:t>
            </w:r>
          </w:p>
        </w:tc>
        <w:tc>
          <w:tcPr>
            <w:tcW w:w="1550" w:type="dxa"/>
            <w:tcBorders/>
            <w:shd w:fill="CCEEFF" w:val="clear"/>
            <w:tcMar>
              <w:bottom w:w="0" w:type="dxa"/>
            </w:tcMar>
            <w:vAlign w:val="center"/>
          </w:tcPr>
          <w:p>
            <w:pPr>
              <w:pStyle w:val="TableContents"/>
              <w:bidi w:val="0"/>
              <w:spacing w:before="0" w:after="283"/>
              <w:jc w:val="right"/>
              <w:rPr/>
            </w:pPr>
            <w:r>
              <w:rPr>
                <w:rStyle w:val="StrongEmphasis"/>
              </w:rPr>
              <w:t>250,000,000.00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rStyle w:val="StrongEmphasis"/>
              </w:rPr>
              <w:t>$</w:t>
            </w:r>
          </w:p>
        </w:tc>
        <w:tc>
          <w:tcPr>
            <w:tcW w:w="1721" w:type="dxa"/>
            <w:tcBorders/>
            <w:shd w:fill="CCEEFF" w:val="clear"/>
            <w:tcMar>
              <w:bottom w:w="0" w:type="dxa"/>
            </w:tcMar>
            <w:vAlign w:val="center"/>
          </w:tcPr>
          <w:p>
            <w:pPr>
              <w:pStyle w:val="TableContents"/>
              <w:bidi w:val="0"/>
              <w:spacing w:before="0" w:after="283"/>
              <w:jc w:val="right"/>
              <w:rPr/>
            </w:pPr>
            <w:r>
              <w:rPr>
                <w:rStyle w:val="StrongEmphasis"/>
              </w:rPr>
              <w:t>125,000,000.00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535" w:type="dxa"/>
        <w:jc w:val="left"/>
        <w:tblInd w:w="0" w:type="dxa"/>
        <w:tblLayout w:type="fixed"/>
        <w:tblCellMar>
          <w:top w:w="0" w:type="dxa"/>
          <w:left w:w="0" w:type="dxa"/>
          <w:bottom w:w="0" w:type="dxa"/>
          <w:right w:w="0" w:type="dxa"/>
        </w:tblCellMar>
      </w:tblPr>
      <w:tblGrid>
        <w:gridCol w:w="1535"/>
      </w:tblGrid>
      <w:tr>
        <w:trPr/>
        <w:tc>
          <w:tcPr>
            <w:tcW w:w="1535" w:type="dxa"/>
            <w:tcBorders/>
            <w:vAlign w:val="center"/>
          </w:tcPr>
          <w:p>
            <w:pPr>
              <w:pStyle w:val="TableContents"/>
              <w:bidi w:val="0"/>
              <w:spacing w:before="0" w:after="283"/>
              <w:ind w:left="0" w:right="0" w:hanging="0"/>
              <w:jc w:val="left"/>
              <w:rPr/>
            </w:pPr>
            <w:r>
              <w:rPr/>
              <w:t> </w:t>
            </w:r>
          </w:p>
        </w:tc>
      </w:tr>
      <w:tr>
        <w:trPr/>
        <w:tc>
          <w:tcPr>
            <w:tcW w:w="153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u w:val="single"/>
              </w:rPr>
              <w:t>Annex I</w:t>
            </w:r>
            <w:r>
              <w:rPr>
                <w:rStyle w:val="StrongEmphasis"/>
                <w:rFonts w:ascii="times new roman" w:hAnsi="times new roman"/>
                <w:sz w:val="20"/>
              </w:rPr>
              <w:t xml:space="preserve"> – Page 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41197/000165495425012450/ped_ex104.htm" TargetMode="External"/><Relationship Id="rId3" Type="http://schemas.openxmlformats.org/officeDocument/2006/relationships/hyperlink" Target="http://www.sec.gov/Archives/edgar/data/1141197/000165495425012450/ped_ex104.htm" TargetMode="External"/><Relationship Id="rId4" Type="http://schemas.openxmlformats.org/officeDocument/2006/relationships/hyperlink" Target="http://www.sec.gov/Archives/edgar/data/1141197/000165495426004632/ped_ex102.htm" TargetMode="External"/><Relationship Id="rId5" Type="http://schemas.openxmlformats.org/officeDocument/2006/relationships/hyperlink" Target="http://www.sec.gov/Archives/edgar/data/1141197/000165495426004632/ped_ex102.htm" TargetMode="External"/><Relationship Id="rId6" Type="http://schemas.openxmlformats.org/officeDocument/2006/relationships/hyperlink" Target="http://www.sec.gov/Archives/edgar/data/1141197/000165495426004632/ped_ex103.htm" TargetMode="External"/><Relationship Id="rId7" Type="http://schemas.openxmlformats.org/officeDocument/2006/relationships/hyperlink" Target="http://www.sec.gov/Archives/edgar/data/1141197/000165495426004632/ped_ex10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2968</Words>
  <Characters>16288</Characters>
  <CharactersWithSpaces>19468</CharactersWithSpaces>
  <Paragraphs>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